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FC293" w14:textId="77777777" w:rsidR="009026C3" w:rsidRPr="003836EE" w:rsidRDefault="003830A7" w:rsidP="001F1F2F">
      <w:pPr>
        <w:jc w:val="center"/>
        <w:rPr>
          <w:sz w:val="22"/>
        </w:rPr>
      </w:pPr>
      <w:bookmarkStart w:id="0" w:name="_GoBack"/>
      <w:bookmarkEnd w:id="0"/>
      <w:r w:rsidRPr="003836EE">
        <w:rPr>
          <w:noProof/>
          <w:sz w:val="22"/>
        </w:rPr>
        <w:drawing>
          <wp:inline distT="0" distB="0" distL="0" distR="0" wp14:anchorId="3C0D6D4A" wp14:editId="6A2679FC">
            <wp:extent cx="2025650" cy="914400"/>
            <wp:effectExtent l="0" t="0" r="0" b="0"/>
            <wp:docPr id="1" name="Picture 1" descr="A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914400"/>
                    </a:xfrm>
                    <a:prstGeom prst="rect">
                      <a:avLst/>
                    </a:prstGeom>
                    <a:noFill/>
                    <a:ln>
                      <a:noFill/>
                    </a:ln>
                  </pic:spPr>
                </pic:pic>
              </a:graphicData>
            </a:graphic>
          </wp:inline>
        </w:drawing>
      </w:r>
    </w:p>
    <w:p w14:paraId="31B875B1" w14:textId="59B33F82" w:rsidR="009026C3" w:rsidRPr="003836EE" w:rsidRDefault="009026C3" w:rsidP="001F1F2F">
      <w:pPr>
        <w:pStyle w:val="NoSpacing"/>
        <w:jc w:val="center"/>
        <w:rPr>
          <w:b/>
          <w:sz w:val="28"/>
          <w:szCs w:val="28"/>
        </w:rPr>
      </w:pPr>
      <w:r w:rsidRPr="003836EE">
        <w:rPr>
          <w:b/>
          <w:sz w:val="28"/>
          <w:szCs w:val="28"/>
        </w:rPr>
        <w:t>State Corporate Tax Credit Scholarship Programs</w:t>
      </w:r>
      <w:r w:rsidR="008E0949">
        <w:rPr>
          <w:b/>
          <w:sz w:val="28"/>
          <w:szCs w:val="28"/>
        </w:rPr>
        <w:t xml:space="preserve"> </w:t>
      </w:r>
      <w:r w:rsidR="005850AF">
        <w:rPr>
          <w:b/>
          <w:sz w:val="28"/>
          <w:szCs w:val="28"/>
        </w:rPr>
        <w:t>FAQ</w:t>
      </w:r>
    </w:p>
    <w:p w14:paraId="534AF9F5" w14:textId="77777777" w:rsidR="009026C3" w:rsidRPr="003836EE" w:rsidRDefault="009026C3" w:rsidP="001F1F2F">
      <w:pPr>
        <w:pStyle w:val="NoSpacing"/>
        <w:jc w:val="center"/>
        <w:rPr>
          <w:b/>
          <w:sz w:val="22"/>
        </w:rPr>
      </w:pPr>
    </w:p>
    <w:p w14:paraId="7E640B62" w14:textId="77777777" w:rsidR="009026C3" w:rsidRPr="003836EE" w:rsidRDefault="009026C3" w:rsidP="001F1F2F">
      <w:pPr>
        <w:pStyle w:val="ListParagraph"/>
        <w:numPr>
          <w:ilvl w:val="0"/>
          <w:numId w:val="1"/>
        </w:numPr>
        <w:rPr>
          <w:b/>
          <w:smallCaps/>
          <w:sz w:val="22"/>
        </w:rPr>
      </w:pPr>
      <w:r w:rsidRPr="003836EE">
        <w:rPr>
          <w:b/>
          <w:smallCaps/>
          <w:sz w:val="22"/>
        </w:rPr>
        <w:t>What are State Corporate Tax Credit Scholarship Programs?</w:t>
      </w:r>
    </w:p>
    <w:p w14:paraId="5F15B792" w14:textId="417F1535" w:rsidR="009026C3" w:rsidRPr="003836EE" w:rsidRDefault="009026C3" w:rsidP="00E20C14">
      <w:pPr>
        <w:pStyle w:val="NoSpacing"/>
        <w:rPr>
          <w:sz w:val="22"/>
        </w:rPr>
      </w:pPr>
      <w:r w:rsidRPr="003836EE">
        <w:rPr>
          <w:sz w:val="22"/>
        </w:rPr>
        <w:t xml:space="preserve">These programs allow companies who pay corporate and other types of taxes to receive a tax credit if they redirect their state tax liability to AAA Scholarship Foundation (AAA), and </w:t>
      </w:r>
      <w:r w:rsidR="00CC6F09" w:rsidRPr="003836EE">
        <w:rPr>
          <w:sz w:val="22"/>
        </w:rPr>
        <w:t>AAA then uses these redirected tax dollars to fund scholarships for low-income, disabled and/or displaced-children to attend the school (up to grade 12) that best meets their unique learning needs</w:t>
      </w:r>
      <w:r w:rsidRPr="003836EE">
        <w:rPr>
          <w:sz w:val="22"/>
        </w:rPr>
        <w:t xml:space="preserve">.  Most of the programs designate that the scholarships go to </w:t>
      </w:r>
      <w:r w:rsidR="00232318" w:rsidRPr="003836EE">
        <w:rPr>
          <w:sz w:val="22"/>
        </w:rPr>
        <w:t xml:space="preserve">children from </w:t>
      </w:r>
      <w:r w:rsidRPr="003836EE">
        <w:rPr>
          <w:sz w:val="22"/>
        </w:rPr>
        <w:t xml:space="preserve">low-income or working poor </w:t>
      </w:r>
      <w:r w:rsidR="00232318" w:rsidRPr="003836EE">
        <w:rPr>
          <w:sz w:val="22"/>
        </w:rPr>
        <w:t>families</w:t>
      </w:r>
      <w:r w:rsidRPr="003836EE">
        <w:rPr>
          <w:sz w:val="22"/>
        </w:rPr>
        <w:t xml:space="preserve">, but some states do not have income limits (i.e. Georgia).  AAA ONLY funds scholarships for children from low-income families (using eligibility for the Free and Reduced Lunch Program as a baseline).   </w:t>
      </w:r>
    </w:p>
    <w:p w14:paraId="5F303760" w14:textId="77777777" w:rsidR="00E20C14" w:rsidRPr="003836EE" w:rsidRDefault="00E20C14" w:rsidP="00E20C14">
      <w:pPr>
        <w:pStyle w:val="NoSpacing"/>
        <w:rPr>
          <w:sz w:val="22"/>
        </w:rPr>
      </w:pPr>
    </w:p>
    <w:p w14:paraId="57C947D3" w14:textId="77777777" w:rsidR="009026C3" w:rsidRPr="003836EE" w:rsidRDefault="009026C3" w:rsidP="001F1F2F">
      <w:pPr>
        <w:pStyle w:val="ListParagraph"/>
        <w:numPr>
          <w:ilvl w:val="0"/>
          <w:numId w:val="1"/>
        </w:numPr>
        <w:rPr>
          <w:b/>
          <w:smallCaps/>
          <w:sz w:val="22"/>
        </w:rPr>
      </w:pPr>
      <w:r w:rsidRPr="003836EE">
        <w:rPr>
          <w:b/>
          <w:smallCaps/>
          <w:sz w:val="22"/>
        </w:rPr>
        <w:t>How many states have these programs and do the programs vary?</w:t>
      </w:r>
    </w:p>
    <w:p w14:paraId="5FD53D58" w14:textId="6E8657E5" w:rsidR="0067015C" w:rsidRPr="003836EE" w:rsidRDefault="009026C3" w:rsidP="00E20C14">
      <w:pPr>
        <w:pStyle w:val="NoSpacing"/>
        <w:rPr>
          <w:sz w:val="22"/>
        </w:rPr>
      </w:pPr>
      <w:r w:rsidRPr="003836EE">
        <w:rPr>
          <w:sz w:val="22"/>
        </w:rPr>
        <w:t>State corporate tax credit scholarship programs exist in 1</w:t>
      </w:r>
      <w:r w:rsidR="005850AF">
        <w:rPr>
          <w:sz w:val="22"/>
        </w:rPr>
        <w:t>6</w:t>
      </w:r>
      <w:r w:rsidRPr="003836EE">
        <w:rPr>
          <w:sz w:val="22"/>
        </w:rPr>
        <w:t xml:space="preserve"> states with different program cap amounts, </w:t>
      </w:r>
      <w:r w:rsidR="00552440" w:rsidRPr="003836EE">
        <w:rPr>
          <w:sz w:val="22"/>
        </w:rPr>
        <w:t>amounts</w:t>
      </w:r>
      <w:r w:rsidRPr="003836EE">
        <w:rPr>
          <w:sz w:val="22"/>
        </w:rPr>
        <w:t xml:space="preserve"> that a company may contribute, application processes and deadlines and credit</w:t>
      </w:r>
      <w:r w:rsidR="00292F9C">
        <w:rPr>
          <w:sz w:val="22"/>
        </w:rPr>
        <w:t>-</w:t>
      </w:r>
      <w:r w:rsidRPr="003836EE">
        <w:rPr>
          <w:sz w:val="22"/>
        </w:rPr>
        <w:t>carry forward provisions.</w:t>
      </w:r>
      <w:r w:rsidR="00D528CC" w:rsidRPr="003836EE">
        <w:rPr>
          <w:sz w:val="22"/>
        </w:rPr>
        <w:t xml:space="preserve">  </w:t>
      </w:r>
      <w:r w:rsidRPr="003836EE">
        <w:rPr>
          <w:sz w:val="22"/>
        </w:rPr>
        <w:t xml:space="preserve">AAA is an approved </w:t>
      </w:r>
      <w:r w:rsidR="00CA07A6">
        <w:rPr>
          <w:sz w:val="22"/>
        </w:rPr>
        <w:t>scholarship organization (</w:t>
      </w:r>
      <w:r w:rsidRPr="003836EE">
        <w:rPr>
          <w:sz w:val="22"/>
        </w:rPr>
        <w:t>SO</w:t>
      </w:r>
      <w:r w:rsidR="00CA07A6">
        <w:rPr>
          <w:sz w:val="22"/>
        </w:rPr>
        <w:t>)</w:t>
      </w:r>
      <w:r w:rsidRPr="003836EE">
        <w:rPr>
          <w:sz w:val="22"/>
        </w:rPr>
        <w:t xml:space="preserve"> in Alabama, Arizona, Florida, Georgia</w:t>
      </w:r>
      <w:r w:rsidR="00103B24">
        <w:rPr>
          <w:sz w:val="22"/>
        </w:rPr>
        <w:t>, Nevada</w:t>
      </w:r>
      <w:r w:rsidR="00110D85">
        <w:rPr>
          <w:sz w:val="22"/>
        </w:rPr>
        <w:t xml:space="preserve"> and</w:t>
      </w:r>
      <w:r w:rsidR="005850AF">
        <w:rPr>
          <w:sz w:val="22"/>
        </w:rPr>
        <w:t xml:space="preserve"> </w:t>
      </w:r>
      <w:r w:rsidR="00103B24">
        <w:rPr>
          <w:sz w:val="22"/>
        </w:rPr>
        <w:t>Pennsylvania</w:t>
      </w:r>
      <w:r w:rsidRPr="003836EE">
        <w:rPr>
          <w:sz w:val="22"/>
        </w:rPr>
        <w:t xml:space="preserve">.  </w:t>
      </w:r>
    </w:p>
    <w:p w14:paraId="129F550E" w14:textId="77777777" w:rsidR="00E20C14" w:rsidRPr="003836EE" w:rsidRDefault="00E20C14" w:rsidP="00E20C14">
      <w:pPr>
        <w:pStyle w:val="NoSpacing"/>
        <w:rPr>
          <w:sz w:val="22"/>
        </w:rPr>
      </w:pPr>
    </w:p>
    <w:p w14:paraId="058EA5C6" w14:textId="77777777" w:rsidR="009026C3" w:rsidRPr="003836EE" w:rsidRDefault="009026C3" w:rsidP="0067015C">
      <w:pPr>
        <w:numPr>
          <w:ilvl w:val="0"/>
          <w:numId w:val="1"/>
        </w:numPr>
        <w:rPr>
          <w:b/>
          <w:smallCaps/>
          <w:sz w:val="22"/>
        </w:rPr>
      </w:pPr>
      <w:r w:rsidRPr="003836EE">
        <w:rPr>
          <w:b/>
          <w:smallCaps/>
          <w:sz w:val="22"/>
        </w:rPr>
        <w:t>What types of taxes are accepted in each program and how much is the credit?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60"/>
        <w:gridCol w:w="1800"/>
      </w:tblGrid>
      <w:tr w:rsidR="009026C3" w:rsidRPr="003836EE" w14:paraId="683D350C" w14:textId="77777777" w:rsidTr="00E20C14">
        <w:trPr>
          <w:trHeight w:val="656"/>
        </w:trPr>
        <w:tc>
          <w:tcPr>
            <w:tcW w:w="2628" w:type="dxa"/>
          </w:tcPr>
          <w:p w14:paraId="4C7A4C6F" w14:textId="77777777" w:rsidR="009026C3" w:rsidRPr="003836EE" w:rsidRDefault="009026C3" w:rsidP="00A74235">
            <w:pPr>
              <w:spacing w:after="0" w:line="240" w:lineRule="auto"/>
              <w:ind w:left="360"/>
              <w:rPr>
                <w:b/>
                <w:bCs/>
                <w:sz w:val="22"/>
              </w:rPr>
            </w:pPr>
            <w:r w:rsidRPr="003836EE">
              <w:rPr>
                <w:b/>
                <w:bCs/>
                <w:sz w:val="22"/>
              </w:rPr>
              <w:t>State</w:t>
            </w:r>
          </w:p>
        </w:tc>
        <w:tc>
          <w:tcPr>
            <w:tcW w:w="3420" w:type="dxa"/>
          </w:tcPr>
          <w:p w14:paraId="0AD31E50" w14:textId="77777777" w:rsidR="009026C3" w:rsidRPr="003836EE" w:rsidRDefault="009026C3" w:rsidP="00A74235">
            <w:pPr>
              <w:spacing w:after="0" w:line="240" w:lineRule="auto"/>
              <w:ind w:left="360"/>
              <w:rPr>
                <w:b/>
                <w:bCs/>
                <w:sz w:val="22"/>
              </w:rPr>
            </w:pPr>
            <w:r w:rsidRPr="003836EE">
              <w:rPr>
                <w:b/>
                <w:bCs/>
                <w:sz w:val="22"/>
              </w:rPr>
              <w:t>Taxes Allowed</w:t>
            </w:r>
          </w:p>
        </w:tc>
        <w:tc>
          <w:tcPr>
            <w:tcW w:w="2160" w:type="dxa"/>
          </w:tcPr>
          <w:p w14:paraId="603E8A53" w14:textId="77777777" w:rsidR="009026C3" w:rsidRPr="003836EE" w:rsidRDefault="009026C3" w:rsidP="00A74235">
            <w:pPr>
              <w:spacing w:after="0" w:line="240" w:lineRule="auto"/>
              <w:ind w:left="360"/>
              <w:rPr>
                <w:b/>
                <w:bCs/>
                <w:sz w:val="22"/>
              </w:rPr>
            </w:pPr>
            <w:r w:rsidRPr="003836EE">
              <w:rPr>
                <w:b/>
                <w:bCs/>
                <w:sz w:val="22"/>
              </w:rPr>
              <w:t>Amount of Credit</w:t>
            </w:r>
          </w:p>
        </w:tc>
        <w:tc>
          <w:tcPr>
            <w:tcW w:w="1800" w:type="dxa"/>
          </w:tcPr>
          <w:p w14:paraId="5A4D72E2" w14:textId="77777777" w:rsidR="009026C3" w:rsidRPr="003836EE" w:rsidRDefault="009026C3" w:rsidP="00A74235">
            <w:pPr>
              <w:spacing w:after="0" w:line="240" w:lineRule="auto"/>
              <w:ind w:left="360"/>
              <w:rPr>
                <w:b/>
                <w:bCs/>
                <w:sz w:val="22"/>
              </w:rPr>
            </w:pPr>
            <w:r w:rsidRPr="003836EE">
              <w:rPr>
                <w:b/>
                <w:bCs/>
                <w:sz w:val="22"/>
              </w:rPr>
              <w:t xml:space="preserve">Credit Carry Forward </w:t>
            </w:r>
          </w:p>
        </w:tc>
      </w:tr>
      <w:tr w:rsidR="009026C3" w:rsidRPr="003836EE" w14:paraId="238C0243" w14:textId="77777777" w:rsidTr="00E20C14">
        <w:trPr>
          <w:trHeight w:val="290"/>
        </w:trPr>
        <w:tc>
          <w:tcPr>
            <w:tcW w:w="2628" w:type="dxa"/>
          </w:tcPr>
          <w:p w14:paraId="0F28EB3F" w14:textId="77777777" w:rsidR="009026C3" w:rsidRPr="003836EE" w:rsidRDefault="00C63BAC" w:rsidP="00A74235">
            <w:pPr>
              <w:spacing w:after="0" w:line="240" w:lineRule="auto"/>
              <w:ind w:left="360"/>
              <w:rPr>
                <w:sz w:val="22"/>
              </w:rPr>
            </w:pPr>
            <w:r w:rsidRPr="003836EE">
              <w:rPr>
                <w:sz w:val="22"/>
              </w:rPr>
              <w:t>Alabama</w:t>
            </w:r>
          </w:p>
        </w:tc>
        <w:tc>
          <w:tcPr>
            <w:tcW w:w="3420" w:type="dxa"/>
          </w:tcPr>
          <w:p w14:paraId="2FD59A38" w14:textId="77777777" w:rsidR="009026C3" w:rsidRPr="003836EE" w:rsidRDefault="009026C3" w:rsidP="00A74235">
            <w:pPr>
              <w:spacing w:after="0" w:line="240" w:lineRule="auto"/>
              <w:ind w:left="360"/>
              <w:rPr>
                <w:sz w:val="22"/>
              </w:rPr>
            </w:pPr>
            <w:r w:rsidRPr="003836EE">
              <w:rPr>
                <w:sz w:val="22"/>
              </w:rPr>
              <w:t>Corporate</w:t>
            </w:r>
          </w:p>
        </w:tc>
        <w:tc>
          <w:tcPr>
            <w:tcW w:w="2160" w:type="dxa"/>
          </w:tcPr>
          <w:p w14:paraId="308A1104" w14:textId="2BC2EC69" w:rsidR="009026C3" w:rsidRPr="003836EE" w:rsidRDefault="009026C3" w:rsidP="00DB0687">
            <w:pPr>
              <w:spacing w:after="0" w:line="240" w:lineRule="auto"/>
              <w:ind w:left="360"/>
              <w:rPr>
                <w:sz w:val="22"/>
              </w:rPr>
            </w:pPr>
            <w:r w:rsidRPr="003836EE">
              <w:rPr>
                <w:sz w:val="22"/>
              </w:rPr>
              <w:t>Dollar</w:t>
            </w:r>
            <w:r w:rsidR="00DB0687">
              <w:rPr>
                <w:sz w:val="22"/>
              </w:rPr>
              <w:t>-</w:t>
            </w:r>
            <w:r w:rsidRPr="003836EE">
              <w:rPr>
                <w:sz w:val="22"/>
              </w:rPr>
              <w:t>for</w:t>
            </w:r>
            <w:r w:rsidR="00DB0687">
              <w:rPr>
                <w:sz w:val="22"/>
              </w:rPr>
              <w:t>-</w:t>
            </w:r>
            <w:r w:rsidRPr="003836EE">
              <w:rPr>
                <w:sz w:val="22"/>
              </w:rPr>
              <w:t>dollar</w:t>
            </w:r>
          </w:p>
        </w:tc>
        <w:tc>
          <w:tcPr>
            <w:tcW w:w="1800" w:type="dxa"/>
          </w:tcPr>
          <w:p w14:paraId="3BBB828C" w14:textId="77777777" w:rsidR="009026C3" w:rsidRPr="003836EE" w:rsidRDefault="009026C3" w:rsidP="00A74235">
            <w:pPr>
              <w:spacing w:after="0" w:line="240" w:lineRule="auto"/>
              <w:ind w:left="360"/>
              <w:rPr>
                <w:sz w:val="22"/>
              </w:rPr>
            </w:pPr>
            <w:r w:rsidRPr="003836EE">
              <w:rPr>
                <w:sz w:val="22"/>
              </w:rPr>
              <w:t>3 years</w:t>
            </w:r>
          </w:p>
        </w:tc>
      </w:tr>
      <w:tr w:rsidR="009026C3" w:rsidRPr="003836EE" w14:paraId="1F2BA241" w14:textId="77777777" w:rsidTr="00E20C14">
        <w:trPr>
          <w:trHeight w:val="580"/>
        </w:trPr>
        <w:tc>
          <w:tcPr>
            <w:tcW w:w="2628" w:type="dxa"/>
          </w:tcPr>
          <w:p w14:paraId="4D3F902B" w14:textId="77777777" w:rsidR="009026C3" w:rsidRPr="003836EE" w:rsidRDefault="009026C3" w:rsidP="00A74235">
            <w:pPr>
              <w:spacing w:after="0" w:line="240" w:lineRule="auto"/>
              <w:ind w:left="360"/>
              <w:rPr>
                <w:sz w:val="22"/>
              </w:rPr>
            </w:pPr>
            <w:r w:rsidRPr="003836EE">
              <w:rPr>
                <w:sz w:val="22"/>
              </w:rPr>
              <w:t xml:space="preserve">Arizona </w:t>
            </w:r>
          </w:p>
        </w:tc>
        <w:tc>
          <w:tcPr>
            <w:tcW w:w="3420" w:type="dxa"/>
          </w:tcPr>
          <w:p w14:paraId="1A8A9492" w14:textId="08BB477F" w:rsidR="009026C3" w:rsidRPr="003836EE" w:rsidRDefault="009026C3" w:rsidP="0039749C">
            <w:pPr>
              <w:spacing w:after="0" w:line="240" w:lineRule="auto"/>
              <w:ind w:left="360"/>
              <w:rPr>
                <w:sz w:val="22"/>
              </w:rPr>
            </w:pPr>
            <w:r w:rsidRPr="003836EE">
              <w:rPr>
                <w:sz w:val="22"/>
              </w:rPr>
              <w:t xml:space="preserve">Insurance </w:t>
            </w:r>
            <w:r w:rsidR="0039749C">
              <w:rPr>
                <w:sz w:val="22"/>
              </w:rPr>
              <w:t>P</w:t>
            </w:r>
            <w:r w:rsidRPr="003836EE">
              <w:rPr>
                <w:sz w:val="22"/>
              </w:rPr>
              <w:t>remium and Corporate</w:t>
            </w:r>
          </w:p>
        </w:tc>
        <w:tc>
          <w:tcPr>
            <w:tcW w:w="2160" w:type="dxa"/>
          </w:tcPr>
          <w:p w14:paraId="51725B70" w14:textId="49021F89" w:rsidR="009026C3" w:rsidRPr="003836EE" w:rsidRDefault="00DB0687" w:rsidP="00DB0687">
            <w:pPr>
              <w:spacing w:after="0" w:line="240" w:lineRule="auto"/>
              <w:ind w:left="360"/>
              <w:rPr>
                <w:sz w:val="22"/>
              </w:rPr>
            </w:pPr>
            <w:r w:rsidRPr="003836EE">
              <w:rPr>
                <w:sz w:val="22"/>
              </w:rPr>
              <w:t>Dollar</w:t>
            </w:r>
            <w:r>
              <w:rPr>
                <w:sz w:val="22"/>
              </w:rPr>
              <w:t>-</w:t>
            </w:r>
            <w:r w:rsidRPr="003836EE">
              <w:rPr>
                <w:sz w:val="22"/>
              </w:rPr>
              <w:t>for</w:t>
            </w:r>
            <w:r>
              <w:rPr>
                <w:sz w:val="22"/>
              </w:rPr>
              <w:t>-</w:t>
            </w:r>
            <w:r w:rsidRPr="003836EE">
              <w:rPr>
                <w:sz w:val="22"/>
              </w:rPr>
              <w:t>dollar</w:t>
            </w:r>
          </w:p>
        </w:tc>
        <w:tc>
          <w:tcPr>
            <w:tcW w:w="1800" w:type="dxa"/>
          </w:tcPr>
          <w:p w14:paraId="2B2AAC95" w14:textId="77777777" w:rsidR="009026C3" w:rsidRPr="003836EE" w:rsidRDefault="009026C3" w:rsidP="00A74235">
            <w:pPr>
              <w:spacing w:after="0" w:line="240" w:lineRule="auto"/>
              <w:ind w:left="360"/>
              <w:rPr>
                <w:sz w:val="22"/>
              </w:rPr>
            </w:pPr>
            <w:r w:rsidRPr="003836EE">
              <w:rPr>
                <w:sz w:val="22"/>
              </w:rPr>
              <w:t>5 years</w:t>
            </w:r>
          </w:p>
        </w:tc>
      </w:tr>
      <w:tr w:rsidR="009026C3" w:rsidRPr="003836EE" w14:paraId="2705843D" w14:textId="77777777" w:rsidTr="00E20C14">
        <w:trPr>
          <w:trHeight w:val="899"/>
        </w:trPr>
        <w:tc>
          <w:tcPr>
            <w:tcW w:w="2628" w:type="dxa"/>
          </w:tcPr>
          <w:p w14:paraId="67FC4E16" w14:textId="7CDBD456" w:rsidR="009026C3" w:rsidRPr="003836EE" w:rsidRDefault="009026C3" w:rsidP="00292F9C">
            <w:pPr>
              <w:spacing w:after="0" w:line="240" w:lineRule="auto"/>
              <w:ind w:left="360"/>
              <w:rPr>
                <w:sz w:val="22"/>
              </w:rPr>
            </w:pPr>
            <w:r w:rsidRPr="003836EE">
              <w:rPr>
                <w:sz w:val="22"/>
              </w:rPr>
              <w:t>Arizona Lexie</w:t>
            </w:r>
            <w:r w:rsidR="00292F9C">
              <w:rPr>
                <w:sz w:val="22"/>
              </w:rPr>
              <w:t>’</w:t>
            </w:r>
            <w:r w:rsidRPr="003836EE">
              <w:rPr>
                <w:sz w:val="22"/>
              </w:rPr>
              <w:t>s Law (for special needs and foster children)</w:t>
            </w:r>
          </w:p>
        </w:tc>
        <w:tc>
          <w:tcPr>
            <w:tcW w:w="3420" w:type="dxa"/>
          </w:tcPr>
          <w:p w14:paraId="554C7DDA" w14:textId="77777777" w:rsidR="009026C3" w:rsidRPr="003836EE" w:rsidRDefault="009026C3" w:rsidP="00A74235">
            <w:pPr>
              <w:spacing w:after="0" w:line="240" w:lineRule="auto"/>
              <w:ind w:left="360"/>
              <w:rPr>
                <w:sz w:val="22"/>
              </w:rPr>
            </w:pPr>
            <w:r w:rsidRPr="003836EE">
              <w:rPr>
                <w:sz w:val="22"/>
              </w:rPr>
              <w:t>Insurance Premium and Corporate</w:t>
            </w:r>
          </w:p>
        </w:tc>
        <w:tc>
          <w:tcPr>
            <w:tcW w:w="2160" w:type="dxa"/>
          </w:tcPr>
          <w:p w14:paraId="7285088E" w14:textId="6D0CFF4D" w:rsidR="009026C3" w:rsidRPr="003836EE" w:rsidRDefault="00DB0687" w:rsidP="00A74235">
            <w:pPr>
              <w:spacing w:after="0" w:line="240" w:lineRule="auto"/>
              <w:ind w:left="360"/>
              <w:rPr>
                <w:sz w:val="22"/>
              </w:rPr>
            </w:pPr>
            <w:r w:rsidRPr="003836EE">
              <w:rPr>
                <w:sz w:val="22"/>
              </w:rPr>
              <w:t>Dollar</w:t>
            </w:r>
            <w:r>
              <w:rPr>
                <w:sz w:val="22"/>
              </w:rPr>
              <w:t>-</w:t>
            </w:r>
            <w:r w:rsidRPr="003836EE">
              <w:rPr>
                <w:sz w:val="22"/>
              </w:rPr>
              <w:t>for</w:t>
            </w:r>
            <w:r>
              <w:rPr>
                <w:sz w:val="22"/>
              </w:rPr>
              <w:t>-</w:t>
            </w:r>
            <w:r w:rsidRPr="003836EE">
              <w:rPr>
                <w:sz w:val="22"/>
              </w:rPr>
              <w:t>dollar</w:t>
            </w:r>
          </w:p>
        </w:tc>
        <w:tc>
          <w:tcPr>
            <w:tcW w:w="1800" w:type="dxa"/>
          </w:tcPr>
          <w:p w14:paraId="74A63328" w14:textId="77777777" w:rsidR="009026C3" w:rsidRPr="003836EE" w:rsidRDefault="009026C3" w:rsidP="00A74235">
            <w:pPr>
              <w:spacing w:after="0" w:line="240" w:lineRule="auto"/>
              <w:ind w:left="360"/>
              <w:rPr>
                <w:sz w:val="22"/>
              </w:rPr>
            </w:pPr>
            <w:r w:rsidRPr="003836EE">
              <w:rPr>
                <w:sz w:val="22"/>
              </w:rPr>
              <w:t>5 years</w:t>
            </w:r>
          </w:p>
        </w:tc>
      </w:tr>
      <w:tr w:rsidR="009026C3" w:rsidRPr="003836EE" w14:paraId="0C1A714C" w14:textId="77777777" w:rsidTr="008E0949">
        <w:trPr>
          <w:trHeight w:val="1169"/>
        </w:trPr>
        <w:tc>
          <w:tcPr>
            <w:tcW w:w="2628" w:type="dxa"/>
          </w:tcPr>
          <w:p w14:paraId="19AED1A2" w14:textId="77777777" w:rsidR="009026C3" w:rsidRPr="003836EE" w:rsidRDefault="009026C3" w:rsidP="00A74235">
            <w:pPr>
              <w:spacing w:after="0" w:line="240" w:lineRule="auto"/>
              <w:ind w:left="360"/>
              <w:rPr>
                <w:sz w:val="22"/>
              </w:rPr>
            </w:pPr>
            <w:r w:rsidRPr="003836EE">
              <w:rPr>
                <w:sz w:val="22"/>
              </w:rPr>
              <w:t>Florida</w:t>
            </w:r>
          </w:p>
        </w:tc>
        <w:tc>
          <w:tcPr>
            <w:tcW w:w="3420" w:type="dxa"/>
          </w:tcPr>
          <w:p w14:paraId="62ACF38A" w14:textId="77777777" w:rsidR="009026C3" w:rsidRPr="003836EE" w:rsidRDefault="009026C3" w:rsidP="00A74235">
            <w:pPr>
              <w:spacing w:after="0" w:line="240" w:lineRule="auto"/>
              <w:ind w:left="360"/>
              <w:rPr>
                <w:sz w:val="22"/>
              </w:rPr>
            </w:pPr>
            <w:r w:rsidRPr="003836EE">
              <w:rPr>
                <w:sz w:val="22"/>
              </w:rPr>
              <w:t>Insurance Premium, Corporate, Direct Pay Sales and Use Tax, Oil and Gas Tax, Alcohol Beverage Excise Tax</w:t>
            </w:r>
          </w:p>
        </w:tc>
        <w:tc>
          <w:tcPr>
            <w:tcW w:w="2160" w:type="dxa"/>
          </w:tcPr>
          <w:p w14:paraId="2007DE1C" w14:textId="0E58BB76" w:rsidR="009026C3" w:rsidRPr="003836EE" w:rsidRDefault="00DB0687" w:rsidP="00A74235">
            <w:pPr>
              <w:spacing w:after="0" w:line="240" w:lineRule="auto"/>
              <w:ind w:left="360"/>
              <w:rPr>
                <w:sz w:val="22"/>
              </w:rPr>
            </w:pPr>
            <w:r w:rsidRPr="003836EE">
              <w:rPr>
                <w:sz w:val="22"/>
              </w:rPr>
              <w:t>Dollar</w:t>
            </w:r>
            <w:r>
              <w:rPr>
                <w:sz w:val="22"/>
              </w:rPr>
              <w:t>-</w:t>
            </w:r>
            <w:r w:rsidRPr="003836EE">
              <w:rPr>
                <w:sz w:val="22"/>
              </w:rPr>
              <w:t>for</w:t>
            </w:r>
            <w:r>
              <w:rPr>
                <w:sz w:val="22"/>
              </w:rPr>
              <w:t>-</w:t>
            </w:r>
            <w:r w:rsidRPr="003836EE">
              <w:rPr>
                <w:sz w:val="22"/>
              </w:rPr>
              <w:t>dollar</w:t>
            </w:r>
          </w:p>
        </w:tc>
        <w:tc>
          <w:tcPr>
            <w:tcW w:w="1800" w:type="dxa"/>
          </w:tcPr>
          <w:p w14:paraId="68E09E01" w14:textId="77777777" w:rsidR="009026C3" w:rsidRPr="003836EE" w:rsidRDefault="009026C3" w:rsidP="00A74235">
            <w:pPr>
              <w:spacing w:after="0" w:line="240" w:lineRule="auto"/>
              <w:ind w:left="360"/>
              <w:rPr>
                <w:sz w:val="22"/>
              </w:rPr>
            </w:pPr>
            <w:r w:rsidRPr="003836EE">
              <w:rPr>
                <w:sz w:val="22"/>
              </w:rPr>
              <w:t>5 years</w:t>
            </w:r>
            <w:r w:rsidR="002F57F7" w:rsidRPr="003836EE">
              <w:rPr>
                <w:sz w:val="22"/>
              </w:rPr>
              <w:t>*</w:t>
            </w:r>
          </w:p>
        </w:tc>
      </w:tr>
      <w:tr w:rsidR="009026C3" w:rsidRPr="003836EE" w14:paraId="6997DB30" w14:textId="77777777" w:rsidTr="00E20C14">
        <w:trPr>
          <w:trHeight w:val="290"/>
        </w:trPr>
        <w:tc>
          <w:tcPr>
            <w:tcW w:w="2628" w:type="dxa"/>
          </w:tcPr>
          <w:p w14:paraId="6D79176B" w14:textId="77777777" w:rsidR="009026C3" w:rsidRPr="003836EE" w:rsidRDefault="009026C3" w:rsidP="00A74235">
            <w:pPr>
              <w:spacing w:after="0" w:line="240" w:lineRule="auto"/>
              <w:ind w:left="360"/>
              <w:rPr>
                <w:sz w:val="22"/>
              </w:rPr>
            </w:pPr>
            <w:r w:rsidRPr="003836EE">
              <w:rPr>
                <w:sz w:val="22"/>
              </w:rPr>
              <w:t>Georgia</w:t>
            </w:r>
          </w:p>
        </w:tc>
        <w:tc>
          <w:tcPr>
            <w:tcW w:w="3420" w:type="dxa"/>
          </w:tcPr>
          <w:p w14:paraId="59846785" w14:textId="77777777" w:rsidR="009026C3" w:rsidRPr="003836EE" w:rsidRDefault="009026C3" w:rsidP="00A74235">
            <w:pPr>
              <w:spacing w:after="0" w:line="240" w:lineRule="auto"/>
              <w:ind w:left="360"/>
              <w:rPr>
                <w:sz w:val="22"/>
              </w:rPr>
            </w:pPr>
            <w:r w:rsidRPr="003836EE">
              <w:rPr>
                <w:sz w:val="22"/>
              </w:rPr>
              <w:t>Corporate</w:t>
            </w:r>
          </w:p>
        </w:tc>
        <w:tc>
          <w:tcPr>
            <w:tcW w:w="2160" w:type="dxa"/>
          </w:tcPr>
          <w:p w14:paraId="478438B3" w14:textId="44D93294" w:rsidR="009026C3" w:rsidRPr="003836EE" w:rsidRDefault="00DB0687" w:rsidP="00A74235">
            <w:pPr>
              <w:spacing w:after="0" w:line="240" w:lineRule="auto"/>
              <w:ind w:left="360"/>
              <w:rPr>
                <w:sz w:val="22"/>
              </w:rPr>
            </w:pPr>
            <w:r w:rsidRPr="003836EE">
              <w:rPr>
                <w:sz w:val="22"/>
              </w:rPr>
              <w:t>Dollar</w:t>
            </w:r>
            <w:r>
              <w:rPr>
                <w:sz w:val="22"/>
              </w:rPr>
              <w:t>-</w:t>
            </w:r>
            <w:r w:rsidRPr="003836EE">
              <w:rPr>
                <w:sz w:val="22"/>
              </w:rPr>
              <w:t>for</w:t>
            </w:r>
            <w:r>
              <w:rPr>
                <w:sz w:val="22"/>
              </w:rPr>
              <w:t>-</w:t>
            </w:r>
            <w:r w:rsidRPr="003836EE">
              <w:rPr>
                <w:sz w:val="22"/>
              </w:rPr>
              <w:t>dollar</w:t>
            </w:r>
          </w:p>
        </w:tc>
        <w:tc>
          <w:tcPr>
            <w:tcW w:w="1800" w:type="dxa"/>
          </w:tcPr>
          <w:p w14:paraId="36800DA2" w14:textId="77777777" w:rsidR="009026C3" w:rsidRPr="003836EE" w:rsidRDefault="009026C3" w:rsidP="00A74235">
            <w:pPr>
              <w:spacing w:after="0" w:line="240" w:lineRule="auto"/>
              <w:ind w:left="360"/>
              <w:rPr>
                <w:sz w:val="22"/>
              </w:rPr>
            </w:pPr>
            <w:r w:rsidRPr="003836EE">
              <w:rPr>
                <w:sz w:val="22"/>
              </w:rPr>
              <w:t>5 years</w:t>
            </w:r>
          </w:p>
        </w:tc>
      </w:tr>
      <w:tr w:rsidR="0039749C" w:rsidRPr="003836EE" w14:paraId="71DB0F45" w14:textId="77777777" w:rsidTr="00E20C14">
        <w:trPr>
          <w:trHeight w:val="290"/>
        </w:trPr>
        <w:tc>
          <w:tcPr>
            <w:tcW w:w="2628" w:type="dxa"/>
          </w:tcPr>
          <w:p w14:paraId="43582C83" w14:textId="318C4481" w:rsidR="0039749C" w:rsidRDefault="0039749C" w:rsidP="00A74235">
            <w:pPr>
              <w:spacing w:after="0" w:line="240" w:lineRule="auto"/>
              <w:ind w:left="360"/>
              <w:rPr>
                <w:sz w:val="22"/>
              </w:rPr>
            </w:pPr>
            <w:r>
              <w:rPr>
                <w:sz w:val="22"/>
              </w:rPr>
              <w:t>Nevada</w:t>
            </w:r>
          </w:p>
        </w:tc>
        <w:tc>
          <w:tcPr>
            <w:tcW w:w="3420" w:type="dxa"/>
          </w:tcPr>
          <w:p w14:paraId="28B06526" w14:textId="6D2CCEEB" w:rsidR="0039749C" w:rsidRDefault="0039749C" w:rsidP="00A74235">
            <w:pPr>
              <w:spacing w:after="0" w:line="240" w:lineRule="auto"/>
              <w:ind w:left="360"/>
              <w:rPr>
                <w:sz w:val="22"/>
              </w:rPr>
            </w:pPr>
            <w:r>
              <w:rPr>
                <w:sz w:val="22"/>
              </w:rPr>
              <w:t>Modified Business Tax</w:t>
            </w:r>
          </w:p>
        </w:tc>
        <w:tc>
          <w:tcPr>
            <w:tcW w:w="2160" w:type="dxa"/>
          </w:tcPr>
          <w:p w14:paraId="12252831" w14:textId="6B0B0734" w:rsidR="0039749C" w:rsidRPr="003836EE" w:rsidRDefault="0039749C" w:rsidP="00A74235">
            <w:pPr>
              <w:spacing w:after="0" w:line="240" w:lineRule="auto"/>
              <w:ind w:left="360"/>
              <w:rPr>
                <w:sz w:val="22"/>
              </w:rPr>
            </w:pPr>
            <w:r w:rsidRPr="003836EE">
              <w:rPr>
                <w:sz w:val="22"/>
              </w:rPr>
              <w:t>Dollar</w:t>
            </w:r>
            <w:r>
              <w:rPr>
                <w:sz w:val="22"/>
              </w:rPr>
              <w:t>-</w:t>
            </w:r>
            <w:r w:rsidRPr="003836EE">
              <w:rPr>
                <w:sz w:val="22"/>
              </w:rPr>
              <w:t>for</w:t>
            </w:r>
            <w:r>
              <w:rPr>
                <w:sz w:val="22"/>
              </w:rPr>
              <w:t>-</w:t>
            </w:r>
            <w:r w:rsidRPr="003836EE">
              <w:rPr>
                <w:sz w:val="22"/>
              </w:rPr>
              <w:t>dollar</w:t>
            </w:r>
          </w:p>
        </w:tc>
        <w:tc>
          <w:tcPr>
            <w:tcW w:w="1800" w:type="dxa"/>
          </w:tcPr>
          <w:p w14:paraId="36839AEC" w14:textId="21203D38" w:rsidR="0039749C" w:rsidRDefault="0039749C" w:rsidP="00A74235">
            <w:pPr>
              <w:spacing w:after="0" w:line="240" w:lineRule="auto"/>
              <w:ind w:left="360"/>
              <w:rPr>
                <w:sz w:val="22"/>
              </w:rPr>
            </w:pPr>
            <w:r>
              <w:rPr>
                <w:sz w:val="22"/>
              </w:rPr>
              <w:t>5 years</w:t>
            </w:r>
          </w:p>
        </w:tc>
      </w:tr>
      <w:tr w:rsidR="0039749C" w:rsidRPr="003836EE" w14:paraId="4F75A96D" w14:textId="77777777" w:rsidTr="00E20C14">
        <w:trPr>
          <w:trHeight w:val="290"/>
        </w:trPr>
        <w:tc>
          <w:tcPr>
            <w:tcW w:w="2628" w:type="dxa"/>
          </w:tcPr>
          <w:p w14:paraId="35DE769F" w14:textId="6CD95366" w:rsidR="0039749C" w:rsidRPr="003836EE" w:rsidRDefault="0039749C" w:rsidP="00A74235">
            <w:pPr>
              <w:spacing w:after="0" w:line="240" w:lineRule="auto"/>
              <w:ind w:left="360"/>
              <w:rPr>
                <w:sz w:val="22"/>
              </w:rPr>
            </w:pPr>
            <w:r>
              <w:rPr>
                <w:sz w:val="22"/>
              </w:rPr>
              <w:t>Pennsylvania</w:t>
            </w:r>
          </w:p>
        </w:tc>
        <w:tc>
          <w:tcPr>
            <w:tcW w:w="3420" w:type="dxa"/>
          </w:tcPr>
          <w:p w14:paraId="327992DF" w14:textId="7C2810CA" w:rsidR="0039749C" w:rsidRPr="0039749C" w:rsidRDefault="0039749C" w:rsidP="00A74235">
            <w:pPr>
              <w:spacing w:after="0" w:line="240" w:lineRule="auto"/>
              <w:ind w:left="360"/>
              <w:rPr>
                <w:color w:val="000000" w:themeColor="text1"/>
                <w:sz w:val="22"/>
              </w:rPr>
            </w:pPr>
            <w:r w:rsidRPr="0039749C">
              <w:rPr>
                <w:color w:val="000000" w:themeColor="text1"/>
                <w:sz w:val="22"/>
              </w:rPr>
              <w:t>Corporate net income tax, bank and trust company shares tax, title insurance companies share tax, insurance premiums tax, mutual thrift institution tax or malt beverage tax</w:t>
            </w:r>
          </w:p>
        </w:tc>
        <w:tc>
          <w:tcPr>
            <w:tcW w:w="2160" w:type="dxa"/>
          </w:tcPr>
          <w:p w14:paraId="63028608" w14:textId="12591554" w:rsidR="0039749C" w:rsidRDefault="009D7815" w:rsidP="0039749C">
            <w:pPr>
              <w:spacing w:after="0" w:line="240" w:lineRule="auto"/>
              <w:ind w:left="360"/>
              <w:rPr>
                <w:color w:val="000000" w:themeColor="text1"/>
                <w:sz w:val="22"/>
              </w:rPr>
            </w:pPr>
            <w:r>
              <w:rPr>
                <w:color w:val="000000" w:themeColor="text1"/>
                <w:sz w:val="22"/>
              </w:rPr>
              <w:t>75</w:t>
            </w:r>
            <w:r w:rsidR="0039749C">
              <w:rPr>
                <w:color w:val="000000" w:themeColor="text1"/>
                <w:sz w:val="22"/>
              </w:rPr>
              <w:t>%</w:t>
            </w:r>
            <w:r>
              <w:rPr>
                <w:color w:val="000000" w:themeColor="text1"/>
                <w:sz w:val="22"/>
              </w:rPr>
              <w:t xml:space="preserve"> for a one-</w:t>
            </w:r>
            <w:r w:rsidR="0039749C" w:rsidRPr="0039749C">
              <w:rPr>
                <w:color w:val="000000" w:themeColor="text1"/>
                <w:sz w:val="22"/>
              </w:rPr>
              <w:t xml:space="preserve">year commitment </w:t>
            </w:r>
          </w:p>
          <w:p w14:paraId="565DFFFC" w14:textId="77777777" w:rsidR="0039749C" w:rsidRDefault="0039749C" w:rsidP="0039749C">
            <w:pPr>
              <w:spacing w:after="0" w:line="240" w:lineRule="auto"/>
              <w:ind w:left="360"/>
              <w:rPr>
                <w:color w:val="000000" w:themeColor="text1"/>
                <w:sz w:val="22"/>
              </w:rPr>
            </w:pPr>
          </w:p>
          <w:p w14:paraId="7D043812" w14:textId="0E7C637D" w:rsidR="0039749C" w:rsidRPr="0039749C" w:rsidRDefault="009D7815" w:rsidP="0039749C">
            <w:pPr>
              <w:spacing w:after="0" w:line="240" w:lineRule="auto"/>
              <w:ind w:left="360"/>
              <w:rPr>
                <w:color w:val="000000" w:themeColor="text1"/>
                <w:sz w:val="22"/>
              </w:rPr>
            </w:pPr>
            <w:r>
              <w:rPr>
                <w:color w:val="000000" w:themeColor="text1"/>
                <w:sz w:val="22"/>
              </w:rPr>
              <w:t>90</w:t>
            </w:r>
            <w:r w:rsidR="0039749C">
              <w:rPr>
                <w:color w:val="000000" w:themeColor="text1"/>
                <w:sz w:val="22"/>
              </w:rPr>
              <w:t>%</w:t>
            </w:r>
            <w:r>
              <w:rPr>
                <w:color w:val="000000" w:themeColor="text1"/>
                <w:sz w:val="22"/>
              </w:rPr>
              <w:t xml:space="preserve"> for a two-</w:t>
            </w:r>
            <w:r w:rsidR="0039749C" w:rsidRPr="0039749C">
              <w:rPr>
                <w:color w:val="000000" w:themeColor="text1"/>
                <w:sz w:val="22"/>
              </w:rPr>
              <w:t>year commitment</w:t>
            </w:r>
          </w:p>
        </w:tc>
        <w:tc>
          <w:tcPr>
            <w:tcW w:w="1800" w:type="dxa"/>
          </w:tcPr>
          <w:p w14:paraId="25E7FA2F" w14:textId="281901BB" w:rsidR="0039749C" w:rsidRPr="003836EE" w:rsidRDefault="0039749C" w:rsidP="00A74235">
            <w:pPr>
              <w:spacing w:after="0" w:line="240" w:lineRule="auto"/>
              <w:ind w:left="360"/>
              <w:rPr>
                <w:sz w:val="22"/>
              </w:rPr>
            </w:pPr>
            <w:r>
              <w:rPr>
                <w:sz w:val="22"/>
              </w:rPr>
              <w:t>None</w:t>
            </w:r>
          </w:p>
        </w:tc>
      </w:tr>
    </w:tbl>
    <w:p w14:paraId="6642D0EF" w14:textId="589761D7" w:rsidR="00326A87" w:rsidRDefault="00326A87" w:rsidP="00326A87">
      <w:pPr>
        <w:spacing w:after="0" w:line="240" w:lineRule="auto"/>
        <w:rPr>
          <w:sz w:val="16"/>
          <w:szCs w:val="16"/>
        </w:rPr>
      </w:pPr>
      <w:r w:rsidRPr="008E0949">
        <w:rPr>
          <w:sz w:val="16"/>
          <w:szCs w:val="16"/>
        </w:rPr>
        <w:t>* If you file a consolidated return in Florida</w:t>
      </w:r>
      <w:r w:rsidR="00552440" w:rsidRPr="008E0949">
        <w:rPr>
          <w:sz w:val="16"/>
          <w:szCs w:val="16"/>
        </w:rPr>
        <w:t>,</w:t>
      </w:r>
      <w:r w:rsidRPr="008E0949">
        <w:rPr>
          <w:sz w:val="16"/>
          <w:szCs w:val="16"/>
        </w:rPr>
        <w:t xml:space="preserve"> you can transfer your credit</w:t>
      </w:r>
      <w:r w:rsidR="00292F9C">
        <w:rPr>
          <w:sz w:val="16"/>
          <w:szCs w:val="16"/>
        </w:rPr>
        <w:t>-</w:t>
      </w:r>
      <w:r w:rsidRPr="008E0949">
        <w:rPr>
          <w:sz w:val="16"/>
          <w:szCs w:val="16"/>
        </w:rPr>
        <w:t>carry forward to different entities in the State.  If you do not file a consolidated tax return in Florida</w:t>
      </w:r>
      <w:r w:rsidR="00552440" w:rsidRPr="008E0949">
        <w:rPr>
          <w:sz w:val="16"/>
          <w:szCs w:val="16"/>
        </w:rPr>
        <w:t>,</w:t>
      </w:r>
      <w:r w:rsidRPr="008E0949">
        <w:rPr>
          <w:sz w:val="16"/>
          <w:szCs w:val="16"/>
        </w:rPr>
        <w:t xml:space="preserve"> you cannot transfer your credit</w:t>
      </w:r>
      <w:r w:rsidR="00292F9C">
        <w:rPr>
          <w:sz w:val="16"/>
          <w:szCs w:val="16"/>
        </w:rPr>
        <w:t>-</w:t>
      </w:r>
      <w:r w:rsidRPr="008E0949">
        <w:rPr>
          <w:sz w:val="16"/>
          <w:szCs w:val="16"/>
        </w:rPr>
        <w:t>carry forward to other entities</w:t>
      </w:r>
      <w:r w:rsidR="00552440" w:rsidRPr="008E0949">
        <w:rPr>
          <w:sz w:val="16"/>
          <w:szCs w:val="16"/>
        </w:rPr>
        <w:t xml:space="preserve"> –</w:t>
      </w:r>
      <w:r w:rsidRPr="008E0949">
        <w:rPr>
          <w:sz w:val="16"/>
          <w:szCs w:val="16"/>
        </w:rPr>
        <w:t xml:space="preserve"> only those the tax was pledged for.</w:t>
      </w:r>
    </w:p>
    <w:p w14:paraId="52D50BC2" w14:textId="77777777" w:rsidR="00103B24" w:rsidRDefault="00103B24" w:rsidP="00326A87">
      <w:pPr>
        <w:spacing w:after="0" w:line="240" w:lineRule="auto"/>
        <w:rPr>
          <w:sz w:val="16"/>
          <w:szCs w:val="16"/>
        </w:rPr>
      </w:pPr>
    </w:p>
    <w:p w14:paraId="2B254289" w14:textId="77777777" w:rsidR="00110D85" w:rsidRPr="008E0949" w:rsidRDefault="00110D85" w:rsidP="00326A87">
      <w:pPr>
        <w:spacing w:after="0" w:line="240" w:lineRule="auto"/>
        <w:rPr>
          <w:sz w:val="16"/>
          <w:szCs w:val="16"/>
        </w:rPr>
      </w:pPr>
    </w:p>
    <w:p w14:paraId="03321C24" w14:textId="77777777" w:rsidR="009026C3" w:rsidRPr="003836EE" w:rsidRDefault="009026C3" w:rsidP="001F1F2F">
      <w:pPr>
        <w:pStyle w:val="ListParagraph"/>
        <w:numPr>
          <w:ilvl w:val="0"/>
          <w:numId w:val="1"/>
        </w:numPr>
        <w:rPr>
          <w:b/>
          <w:smallCaps/>
          <w:sz w:val="22"/>
        </w:rPr>
      </w:pPr>
      <w:r w:rsidRPr="003836EE">
        <w:rPr>
          <w:b/>
          <w:smallCaps/>
          <w:sz w:val="22"/>
        </w:rPr>
        <w:lastRenderedPageBreak/>
        <w:t>What is the application process?</w:t>
      </w:r>
    </w:p>
    <w:p w14:paraId="20D2F999" w14:textId="3C0AB9B7" w:rsidR="00110D85" w:rsidRDefault="00013F89" w:rsidP="00103B24">
      <w:pPr>
        <w:pStyle w:val="NoSpacing"/>
        <w:rPr>
          <w:sz w:val="22"/>
        </w:rPr>
      </w:pPr>
      <w:r w:rsidRPr="003836EE">
        <w:rPr>
          <w:sz w:val="22"/>
        </w:rPr>
        <w:t>In each state, the respective Department of Revenue must approve a company’s participation prior to payment.  The approval process does not oblige the company to remit the funds</w:t>
      </w:r>
      <w:r w:rsidR="00292F9C">
        <w:rPr>
          <w:sz w:val="22"/>
        </w:rPr>
        <w:t xml:space="preserve"> </w:t>
      </w:r>
      <w:r w:rsidR="00292F9C" w:rsidRPr="008E0949">
        <w:rPr>
          <w:sz w:val="16"/>
          <w:szCs w:val="16"/>
        </w:rPr>
        <w:t>–</w:t>
      </w:r>
      <w:r w:rsidR="00292F9C">
        <w:rPr>
          <w:sz w:val="16"/>
          <w:szCs w:val="16"/>
        </w:rPr>
        <w:t xml:space="preserve"> </w:t>
      </w:r>
      <w:r w:rsidR="00042210" w:rsidRPr="003836EE">
        <w:rPr>
          <w:sz w:val="22"/>
        </w:rPr>
        <w:t>i</w:t>
      </w:r>
      <w:r w:rsidRPr="003836EE">
        <w:rPr>
          <w:sz w:val="22"/>
        </w:rPr>
        <w:t xml:space="preserve">t is merely a way to ensure that the annual program cap is not over-subscribed. </w:t>
      </w:r>
    </w:p>
    <w:p w14:paraId="5EA8FA3B" w14:textId="77777777" w:rsidR="000D1538" w:rsidRDefault="000D1538" w:rsidP="00103B24">
      <w:pPr>
        <w:pStyle w:val="NoSpacing"/>
        <w:rPr>
          <w:sz w:val="22"/>
        </w:rPr>
      </w:pPr>
    </w:p>
    <w:p w14:paraId="346E4142" w14:textId="40E4B3D0" w:rsidR="00013F89" w:rsidRDefault="00013F89" w:rsidP="00EA7D7C">
      <w:pPr>
        <w:pStyle w:val="NoSpacing"/>
        <w:rPr>
          <w:sz w:val="22"/>
        </w:rPr>
      </w:pPr>
      <w:r w:rsidRPr="003836EE">
        <w:rPr>
          <w:sz w:val="22"/>
        </w:rPr>
        <w:t>The application process varies in each state:</w:t>
      </w:r>
    </w:p>
    <w:p w14:paraId="1F788E1C" w14:textId="77777777" w:rsidR="0097585B" w:rsidRPr="003836EE" w:rsidRDefault="0097585B" w:rsidP="00EA7D7C">
      <w:pPr>
        <w:pStyle w:val="NoSpacing"/>
        <w:rPr>
          <w:sz w:val="22"/>
        </w:rPr>
      </w:pPr>
    </w:p>
    <w:p w14:paraId="04CA52F4" w14:textId="2B9236F9" w:rsidR="0067015C" w:rsidRPr="003836EE" w:rsidRDefault="00013F89" w:rsidP="00EA7D7C">
      <w:pPr>
        <w:pStyle w:val="NoSpacing"/>
        <w:numPr>
          <w:ilvl w:val="0"/>
          <w:numId w:val="13"/>
        </w:numPr>
        <w:rPr>
          <w:sz w:val="22"/>
        </w:rPr>
      </w:pPr>
      <w:r w:rsidRPr="003836EE">
        <w:rPr>
          <w:b/>
          <w:sz w:val="22"/>
        </w:rPr>
        <w:t>Alabama</w:t>
      </w:r>
      <w:r w:rsidRPr="003836EE">
        <w:rPr>
          <w:sz w:val="22"/>
        </w:rPr>
        <w:t xml:space="preserve">:  </w:t>
      </w:r>
      <w:r w:rsidR="00552440" w:rsidRPr="003836EE">
        <w:rPr>
          <w:sz w:val="22"/>
        </w:rPr>
        <w:t xml:space="preserve">Online </w:t>
      </w:r>
      <w:r w:rsidRPr="003836EE">
        <w:rPr>
          <w:sz w:val="22"/>
        </w:rPr>
        <w:t xml:space="preserve">application by the company and payment </w:t>
      </w:r>
      <w:r w:rsidR="00552440" w:rsidRPr="003836EE">
        <w:rPr>
          <w:sz w:val="22"/>
        </w:rPr>
        <w:t>to be made</w:t>
      </w:r>
      <w:r w:rsidR="00927966" w:rsidRPr="003836EE">
        <w:rPr>
          <w:sz w:val="22"/>
        </w:rPr>
        <w:t xml:space="preserve"> </w:t>
      </w:r>
      <w:r w:rsidRPr="003836EE">
        <w:rPr>
          <w:sz w:val="22"/>
        </w:rPr>
        <w:t>within 30 days of approval.</w:t>
      </w:r>
      <w:r w:rsidR="00927966" w:rsidRPr="003836EE">
        <w:rPr>
          <w:sz w:val="22"/>
        </w:rPr>
        <w:t xml:space="preserve"> </w:t>
      </w:r>
    </w:p>
    <w:p w14:paraId="60DD1A2E" w14:textId="77777777" w:rsidR="00EA7D7C" w:rsidRPr="003836EE" w:rsidRDefault="00EA7D7C" w:rsidP="00EA7D7C">
      <w:pPr>
        <w:pStyle w:val="NoSpacing"/>
        <w:numPr>
          <w:ilvl w:val="0"/>
          <w:numId w:val="13"/>
        </w:numPr>
        <w:rPr>
          <w:sz w:val="22"/>
        </w:rPr>
      </w:pPr>
      <w:r w:rsidRPr="003836EE">
        <w:rPr>
          <w:b/>
          <w:sz w:val="22"/>
        </w:rPr>
        <w:t>Arizona</w:t>
      </w:r>
      <w:r w:rsidRPr="003836EE">
        <w:rPr>
          <w:sz w:val="22"/>
        </w:rPr>
        <w:t>:  AAA must apply to the DOR on the company’s behalf and payment to be made within 20 days of approval.</w:t>
      </w:r>
    </w:p>
    <w:p w14:paraId="1D4231C0" w14:textId="2353C719" w:rsidR="00013F89" w:rsidRPr="003836EE" w:rsidRDefault="0067015C" w:rsidP="00EA7D7C">
      <w:pPr>
        <w:pStyle w:val="NoSpacing"/>
        <w:numPr>
          <w:ilvl w:val="0"/>
          <w:numId w:val="13"/>
        </w:numPr>
        <w:rPr>
          <w:sz w:val="22"/>
        </w:rPr>
      </w:pPr>
      <w:r w:rsidRPr="003836EE">
        <w:rPr>
          <w:b/>
          <w:sz w:val="22"/>
        </w:rPr>
        <w:t>Florida</w:t>
      </w:r>
      <w:r w:rsidR="00013F89" w:rsidRPr="003836EE">
        <w:rPr>
          <w:sz w:val="22"/>
        </w:rPr>
        <w:t xml:space="preserve">:  </w:t>
      </w:r>
      <w:r w:rsidR="00552440" w:rsidRPr="003836EE">
        <w:rPr>
          <w:sz w:val="22"/>
        </w:rPr>
        <w:t xml:space="preserve">Online </w:t>
      </w:r>
      <w:r w:rsidR="00013F89" w:rsidRPr="003836EE">
        <w:rPr>
          <w:sz w:val="22"/>
        </w:rPr>
        <w:t xml:space="preserve">application by the company and payment </w:t>
      </w:r>
      <w:r w:rsidR="003968C3" w:rsidRPr="003836EE">
        <w:rPr>
          <w:sz w:val="22"/>
        </w:rPr>
        <w:t xml:space="preserve">to be </w:t>
      </w:r>
      <w:r w:rsidR="00013F89" w:rsidRPr="003836EE">
        <w:rPr>
          <w:sz w:val="22"/>
        </w:rPr>
        <w:t xml:space="preserve">made </w:t>
      </w:r>
      <w:r w:rsidRPr="003836EE">
        <w:rPr>
          <w:sz w:val="22"/>
        </w:rPr>
        <w:t xml:space="preserve">by the </w:t>
      </w:r>
      <w:r w:rsidR="00013F89" w:rsidRPr="003836EE">
        <w:rPr>
          <w:sz w:val="22"/>
        </w:rPr>
        <w:t xml:space="preserve">last day of your </w:t>
      </w:r>
      <w:r w:rsidR="00927966" w:rsidRPr="003836EE">
        <w:rPr>
          <w:sz w:val="22"/>
        </w:rPr>
        <w:t xml:space="preserve">company’s </w:t>
      </w:r>
      <w:r w:rsidR="00013F89" w:rsidRPr="003836EE">
        <w:rPr>
          <w:sz w:val="22"/>
        </w:rPr>
        <w:t>fiscal year.</w:t>
      </w:r>
    </w:p>
    <w:p w14:paraId="0F7B60D4" w14:textId="77777777" w:rsidR="0067015C" w:rsidRDefault="0067015C" w:rsidP="00EA7D7C">
      <w:pPr>
        <w:pStyle w:val="NoSpacing"/>
        <w:numPr>
          <w:ilvl w:val="0"/>
          <w:numId w:val="13"/>
        </w:numPr>
        <w:rPr>
          <w:sz w:val="22"/>
        </w:rPr>
      </w:pPr>
      <w:r w:rsidRPr="003836EE">
        <w:rPr>
          <w:b/>
          <w:sz w:val="22"/>
        </w:rPr>
        <w:t>Georgia</w:t>
      </w:r>
      <w:r w:rsidRPr="003836EE">
        <w:rPr>
          <w:sz w:val="22"/>
        </w:rPr>
        <w:t>:  AAA must apply to the DOR on the company’s behalf and payment</w:t>
      </w:r>
      <w:r w:rsidR="00927966" w:rsidRPr="003836EE">
        <w:rPr>
          <w:sz w:val="22"/>
        </w:rPr>
        <w:t xml:space="preserve"> to be</w:t>
      </w:r>
      <w:r w:rsidRPr="003836EE">
        <w:rPr>
          <w:sz w:val="22"/>
        </w:rPr>
        <w:t xml:space="preserve"> made within 60 days of approval.</w:t>
      </w:r>
    </w:p>
    <w:p w14:paraId="76A2B442" w14:textId="2ECA80A9" w:rsidR="00103B24" w:rsidRPr="00103B24" w:rsidRDefault="00103B24" w:rsidP="00103B24">
      <w:pPr>
        <w:pStyle w:val="NoSpacing"/>
        <w:numPr>
          <w:ilvl w:val="0"/>
          <w:numId w:val="13"/>
        </w:numPr>
        <w:rPr>
          <w:sz w:val="22"/>
        </w:rPr>
      </w:pPr>
      <w:r>
        <w:rPr>
          <w:b/>
          <w:sz w:val="22"/>
        </w:rPr>
        <w:t>Nevada</w:t>
      </w:r>
      <w:r w:rsidRPr="005850AF">
        <w:rPr>
          <w:sz w:val="22"/>
        </w:rPr>
        <w:t>:</w:t>
      </w:r>
      <w:r>
        <w:rPr>
          <w:sz w:val="22"/>
        </w:rPr>
        <w:t xml:space="preserve">  AAA must apply to the Nevada Taxation Department on the company’s behalf and payment to be made in 30 days of approval.</w:t>
      </w:r>
    </w:p>
    <w:p w14:paraId="02837E2C" w14:textId="278A1417" w:rsidR="00103B24" w:rsidRDefault="00103B24" w:rsidP="00EA7D7C">
      <w:pPr>
        <w:pStyle w:val="NoSpacing"/>
        <w:numPr>
          <w:ilvl w:val="0"/>
          <w:numId w:val="13"/>
        </w:numPr>
        <w:rPr>
          <w:sz w:val="22"/>
        </w:rPr>
      </w:pPr>
      <w:r>
        <w:rPr>
          <w:b/>
          <w:sz w:val="22"/>
        </w:rPr>
        <w:t>Pennsylvania</w:t>
      </w:r>
      <w:r w:rsidRPr="00103B24">
        <w:rPr>
          <w:sz w:val="22"/>
        </w:rPr>
        <w:t>:</w:t>
      </w:r>
      <w:r>
        <w:rPr>
          <w:sz w:val="22"/>
        </w:rPr>
        <w:t xml:space="preserve">  Online application by the company and payment to be made within 60 days of approval.</w:t>
      </w:r>
    </w:p>
    <w:p w14:paraId="73625998" w14:textId="77777777" w:rsidR="009026C3" w:rsidRPr="003836EE" w:rsidRDefault="009026C3" w:rsidP="00AB108D">
      <w:pPr>
        <w:pStyle w:val="ListParagraph"/>
        <w:rPr>
          <w:b/>
          <w:sz w:val="22"/>
        </w:rPr>
      </w:pPr>
    </w:p>
    <w:p w14:paraId="1F1422B8" w14:textId="77777777" w:rsidR="009026C3" w:rsidRPr="003836EE" w:rsidRDefault="009026C3" w:rsidP="001F1F2F">
      <w:pPr>
        <w:pStyle w:val="ListParagraph"/>
        <w:numPr>
          <w:ilvl w:val="0"/>
          <w:numId w:val="1"/>
        </w:numPr>
        <w:rPr>
          <w:b/>
          <w:smallCaps/>
          <w:sz w:val="22"/>
        </w:rPr>
      </w:pPr>
      <w:r w:rsidRPr="003836EE">
        <w:rPr>
          <w:b/>
          <w:smallCaps/>
          <w:sz w:val="22"/>
        </w:rPr>
        <w:t xml:space="preserve">How </w:t>
      </w:r>
      <w:r w:rsidR="0067015C" w:rsidRPr="003836EE">
        <w:rPr>
          <w:b/>
          <w:smallCaps/>
          <w:sz w:val="22"/>
        </w:rPr>
        <w:t>does my company take the credit</w:t>
      </w:r>
      <w:r w:rsidRPr="003836EE">
        <w:rPr>
          <w:b/>
          <w:smallCaps/>
          <w:sz w:val="22"/>
        </w:rPr>
        <w:t xml:space="preserve">? </w:t>
      </w:r>
    </w:p>
    <w:p w14:paraId="6284A21E" w14:textId="7AAB738F" w:rsidR="009026C3" w:rsidRPr="003836EE" w:rsidRDefault="009026C3" w:rsidP="00D528CC">
      <w:pPr>
        <w:pStyle w:val="NoSpacing"/>
        <w:rPr>
          <w:sz w:val="22"/>
        </w:rPr>
      </w:pPr>
      <w:r w:rsidRPr="003836EE">
        <w:rPr>
          <w:sz w:val="22"/>
        </w:rPr>
        <w:t xml:space="preserve">The tax credits are taken when your company files its state tax return. </w:t>
      </w:r>
      <w:r w:rsidR="00292F9C">
        <w:rPr>
          <w:sz w:val="22"/>
        </w:rPr>
        <w:t xml:space="preserve"> </w:t>
      </w:r>
      <w:r w:rsidRPr="003836EE">
        <w:rPr>
          <w:sz w:val="22"/>
        </w:rPr>
        <w:t xml:space="preserve">Generally, the state has a schedule that lists all available tax credits, including the tax credit scholarship. </w:t>
      </w:r>
      <w:r w:rsidR="00292F9C">
        <w:rPr>
          <w:sz w:val="22"/>
        </w:rPr>
        <w:t xml:space="preserve"> </w:t>
      </w:r>
      <w:r w:rsidRPr="003836EE">
        <w:rPr>
          <w:sz w:val="22"/>
        </w:rPr>
        <w:t xml:space="preserve">Your company will complete the tax credit schedule, attach a copy of the acknowledgement that you receive from AAA and then file the return. </w:t>
      </w:r>
      <w:r w:rsidR="0067015C" w:rsidRPr="003836EE">
        <w:rPr>
          <w:sz w:val="22"/>
        </w:rPr>
        <w:t xml:space="preserve"> </w:t>
      </w:r>
      <w:r w:rsidRPr="003836EE">
        <w:rPr>
          <w:sz w:val="22"/>
        </w:rPr>
        <w:t xml:space="preserve">If your company cannot take the fully approved tax credit in the year it is awarded, most states allow you to carry it forward for a certain number of years (see #3 above for details). </w:t>
      </w:r>
      <w:r w:rsidR="0067015C" w:rsidRPr="003836EE">
        <w:rPr>
          <w:sz w:val="22"/>
        </w:rPr>
        <w:t xml:space="preserve"> </w:t>
      </w:r>
      <w:r w:rsidR="00CE4666" w:rsidRPr="003836EE">
        <w:rPr>
          <w:sz w:val="22"/>
        </w:rPr>
        <w:t>Also, t</w:t>
      </w:r>
      <w:r w:rsidRPr="003836EE">
        <w:rPr>
          <w:sz w:val="22"/>
        </w:rPr>
        <w:t>he IRS allows your company to report these tax credits as payments of state income tax under IRC Section 164 or 162 on your federal tax return</w:t>
      </w:r>
      <w:r w:rsidR="003968C3" w:rsidRPr="003836EE">
        <w:rPr>
          <w:sz w:val="22"/>
        </w:rPr>
        <w:t>,</w:t>
      </w:r>
      <w:r w:rsidRPr="003836EE">
        <w:rPr>
          <w:sz w:val="22"/>
        </w:rPr>
        <w:t xml:space="preserve"> rather than as charitable contributions.</w:t>
      </w:r>
    </w:p>
    <w:p w14:paraId="154C385C" w14:textId="77777777" w:rsidR="009026C3" w:rsidRPr="003836EE" w:rsidRDefault="009026C3" w:rsidP="0067015C">
      <w:pPr>
        <w:pStyle w:val="NoSpacing"/>
        <w:rPr>
          <w:sz w:val="22"/>
        </w:rPr>
      </w:pPr>
    </w:p>
    <w:p w14:paraId="281AE4A2" w14:textId="77777777" w:rsidR="009026C3" w:rsidRPr="003836EE" w:rsidRDefault="009026C3" w:rsidP="00EB2A49">
      <w:pPr>
        <w:pStyle w:val="ListParagraph"/>
        <w:numPr>
          <w:ilvl w:val="0"/>
          <w:numId w:val="1"/>
        </w:numPr>
        <w:rPr>
          <w:b/>
          <w:smallCaps/>
          <w:sz w:val="22"/>
        </w:rPr>
      </w:pPr>
      <w:r w:rsidRPr="003836EE">
        <w:rPr>
          <w:b/>
          <w:smallCaps/>
          <w:sz w:val="22"/>
        </w:rPr>
        <w:t xml:space="preserve">Does the state treat my company’s payment to AAA as an estimated tax payment? </w:t>
      </w:r>
    </w:p>
    <w:p w14:paraId="6D70607F" w14:textId="5CA3CFF5" w:rsidR="009026C3" w:rsidRPr="003836EE" w:rsidRDefault="009026C3" w:rsidP="00103B24">
      <w:pPr>
        <w:rPr>
          <w:sz w:val="22"/>
        </w:rPr>
      </w:pPr>
      <w:r w:rsidRPr="003836EE">
        <w:rPr>
          <w:sz w:val="22"/>
        </w:rPr>
        <w:t>The answer depends on 1) how your company calculates its estimated tax paymen</w:t>
      </w:r>
      <w:r w:rsidR="00103B24">
        <w:rPr>
          <w:sz w:val="22"/>
        </w:rPr>
        <w:t xml:space="preserve">ts and 2) in which state it is </w:t>
      </w:r>
      <w:r w:rsidRPr="003836EE">
        <w:rPr>
          <w:sz w:val="22"/>
        </w:rPr>
        <w:t xml:space="preserve">participating. </w:t>
      </w:r>
    </w:p>
    <w:p w14:paraId="0B32DEAD" w14:textId="1E7D3E5F" w:rsidR="009026C3" w:rsidRPr="003836EE" w:rsidRDefault="009026C3" w:rsidP="00CB090B">
      <w:pPr>
        <w:pStyle w:val="NoSpacing"/>
        <w:rPr>
          <w:sz w:val="22"/>
        </w:rPr>
      </w:pPr>
      <w:r w:rsidRPr="003836EE">
        <w:rPr>
          <w:sz w:val="22"/>
        </w:rPr>
        <w:t>First, if your company uses the previous year’s tax liability to determine its current year estimates (the “look-back” method), th</w:t>
      </w:r>
      <w:r w:rsidR="003968C3" w:rsidRPr="003836EE">
        <w:rPr>
          <w:sz w:val="22"/>
        </w:rPr>
        <w:t>e</w:t>
      </w:r>
      <w:r w:rsidRPr="003836EE">
        <w:rPr>
          <w:sz w:val="22"/>
        </w:rPr>
        <w:t xml:space="preserve">n your first year of participation in the tax credit scholarship program will have no </w:t>
      </w:r>
      <w:r w:rsidR="0067015C" w:rsidRPr="003836EE">
        <w:rPr>
          <w:sz w:val="22"/>
        </w:rPr>
        <w:t>effect</w:t>
      </w:r>
      <w:r w:rsidRPr="003836EE">
        <w:rPr>
          <w:sz w:val="22"/>
        </w:rPr>
        <w:t xml:space="preserve"> on your estimated tax payments. </w:t>
      </w:r>
      <w:r w:rsidR="00292F9C">
        <w:rPr>
          <w:sz w:val="22"/>
        </w:rPr>
        <w:t xml:space="preserve"> </w:t>
      </w:r>
      <w:r w:rsidRPr="003836EE">
        <w:rPr>
          <w:sz w:val="22"/>
        </w:rPr>
        <w:t>However, it may have a very positive affect on your subsequent year installments because the tax credit can be “netted” against the liability in determining the installments.</w:t>
      </w:r>
    </w:p>
    <w:p w14:paraId="3995541C" w14:textId="77777777" w:rsidR="009026C3" w:rsidRPr="003836EE" w:rsidRDefault="009026C3" w:rsidP="00CB090B">
      <w:pPr>
        <w:pStyle w:val="NoSpacing"/>
        <w:rPr>
          <w:sz w:val="22"/>
        </w:rPr>
      </w:pPr>
    </w:p>
    <w:p w14:paraId="30C89808" w14:textId="35E24540" w:rsidR="005E4F63" w:rsidRPr="003836EE" w:rsidRDefault="009026C3" w:rsidP="005E4F63">
      <w:pPr>
        <w:pStyle w:val="NoSpacing"/>
        <w:rPr>
          <w:sz w:val="22"/>
        </w:rPr>
      </w:pPr>
      <w:r w:rsidRPr="003836EE">
        <w:rPr>
          <w:sz w:val="22"/>
        </w:rPr>
        <w:t>Second, Florida is one state that allows your company to treat its payment to AAA as estimated tax payments regardless of how you calculate your estimated taxes.</w:t>
      </w:r>
      <w:r w:rsidR="005E4F63" w:rsidRPr="003836EE">
        <w:rPr>
          <w:sz w:val="22"/>
        </w:rPr>
        <w:t xml:space="preserve">  </w:t>
      </w:r>
    </w:p>
    <w:p w14:paraId="1A7D26ED" w14:textId="77777777" w:rsidR="005E4F63" w:rsidRPr="003836EE" w:rsidRDefault="005E4F63" w:rsidP="005E4F63">
      <w:pPr>
        <w:pStyle w:val="NoSpacing"/>
        <w:rPr>
          <w:sz w:val="22"/>
        </w:rPr>
      </w:pPr>
    </w:p>
    <w:p w14:paraId="4E4B1888" w14:textId="77777777" w:rsidR="005E4F63" w:rsidRDefault="005E4F63" w:rsidP="005E4F63">
      <w:pPr>
        <w:pStyle w:val="NoSpacing"/>
        <w:rPr>
          <w:sz w:val="22"/>
        </w:rPr>
      </w:pPr>
      <w:r w:rsidRPr="003836EE">
        <w:rPr>
          <w:sz w:val="22"/>
        </w:rPr>
        <w:t xml:space="preserve">In Florida, in order for a remittance to AAA to be treated as an estimated tax payment, the </w:t>
      </w:r>
      <w:r w:rsidR="00E20C14" w:rsidRPr="003836EE">
        <w:rPr>
          <w:sz w:val="22"/>
        </w:rPr>
        <w:t>company</w:t>
      </w:r>
      <w:r w:rsidRPr="003836EE">
        <w:rPr>
          <w:sz w:val="22"/>
        </w:rPr>
        <w:t xml:space="preserve"> has to remit their payments to AAA by the normal estimated tax due dates (April 15, June 15 and Oct</w:t>
      </w:r>
      <w:r w:rsidR="003968C3" w:rsidRPr="003836EE">
        <w:rPr>
          <w:sz w:val="22"/>
        </w:rPr>
        <w:t>ober</w:t>
      </w:r>
      <w:r w:rsidRPr="003836EE">
        <w:rPr>
          <w:sz w:val="22"/>
        </w:rPr>
        <w:t xml:space="preserve"> 15 for IP tax).</w:t>
      </w:r>
    </w:p>
    <w:p w14:paraId="78EB2559" w14:textId="77777777" w:rsidR="005850AF" w:rsidRDefault="005850AF" w:rsidP="005E4F63">
      <w:pPr>
        <w:pStyle w:val="NoSpacing"/>
        <w:rPr>
          <w:sz w:val="22"/>
        </w:rPr>
      </w:pPr>
    </w:p>
    <w:p w14:paraId="06CBF227" w14:textId="73813572" w:rsidR="00222F58" w:rsidRPr="003836EE" w:rsidRDefault="00222F58" w:rsidP="00222F58">
      <w:pPr>
        <w:pStyle w:val="NoSpacing"/>
        <w:numPr>
          <w:ilvl w:val="0"/>
          <w:numId w:val="1"/>
        </w:numPr>
        <w:rPr>
          <w:b/>
          <w:bCs/>
          <w:smallCaps/>
          <w:sz w:val="22"/>
        </w:rPr>
      </w:pPr>
      <w:r w:rsidRPr="003836EE">
        <w:rPr>
          <w:b/>
          <w:bCs/>
          <w:smallCaps/>
          <w:sz w:val="22"/>
        </w:rPr>
        <w:t>Is my contribution a charitable deduction?</w:t>
      </w:r>
    </w:p>
    <w:p w14:paraId="59157618" w14:textId="77777777" w:rsidR="00222F58" w:rsidRPr="003836EE" w:rsidRDefault="00222F58" w:rsidP="00222F58">
      <w:pPr>
        <w:pStyle w:val="NoSpacing"/>
        <w:rPr>
          <w:bCs/>
          <w:sz w:val="22"/>
        </w:rPr>
      </w:pPr>
    </w:p>
    <w:p w14:paraId="27604BD7" w14:textId="2C3946D3" w:rsidR="00222F58" w:rsidRPr="003836EE" w:rsidRDefault="00222F58" w:rsidP="00222F58">
      <w:pPr>
        <w:pStyle w:val="NoSpacing"/>
        <w:rPr>
          <w:sz w:val="22"/>
        </w:rPr>
      </w:pPr>
      <w:r w:rsidRPr="003836EE">
        <w:rPr>
          <w:sz w:val="22"/>
        </w:rPr>
        <w:t xml:space="preserve">We have an informational letter from the Internal Revenue Service (IRS) regarding whether taxes redirected to a scholarship organization are allowable as a federal charitable deduction.  Although it is not a </w:t>
      </w:r>
      <w:r w:rsidR="00292F9C">
        <w:rPr>
          <w:sz w:val="22"/>
        </w:rPr>
        <w:t>“</w:t>
      </w:r>
      <w:r w:rsidRPr="003836EE">
        <w:rPr>
          <w:sz w:val="22"/>
        </w:rPr>
        <w:t>ruling</w:t>
      </w:r>
      <w:r w:rsidR="00292F9C">
        <w:rPr>
          <w:sz w:val="22"/>
        </w:rPr>
        <w:t>,”</w:t>
      </w:r>
      <w:r w:rsidRPr="003836EE">
        <w:rPr>
          <w:sz w:val="22"/>
        </w:rPr>
        <w:t xml:space="preserve"> it does call attention to certain principles that are germane.    </w:t>
      </w:r>
    </w:p>
    <w:p w14:paraId="344A37C5" w14:textId="77777777" w:rsidR="00222F58" w:rsidRPr="003836EE" w:rsidRDefault="00222F58" w:rsidP="00222F58">
      <w:pPr>
        <w:pStyle w:val="NoSpacing"/>
        <w:rPr>
          <w:sz w:val="22"/>
        </w:rPr>
      </w:pPr>
      <w:r w:rsidRPr="003836EE">
        <w:rPr>
          <w:sz w:val="22"/>
        </w:rPr>
        <w:t> </w:t>
      </w:r>
    </w:p>
    <w:p w14:paraId="1E4A510B" w14:textId="77777777" w:rsidR="00222F58" w:rsidRPr="003836EE" w:rsidRDefault="00222F58" w:rsidP="00222F58">
      <w:pPr>
        <w:pStyle w:val="NoSpacing"/>
        <w:rPr>
          <w:sz w:val="22"/>
        </w:rPr>
      </w:pPr>
      <w:r w:rsidRPr="003836EE">
        <w:rPr>
          <w:sz w:val="22"/>
        </w:rPr>
        <w:lastRenderedPageBreak/>
        <w:t xml:space="preserve">The letter discusses whether a remittance should be considered a charitable deduction (under section 170) given the fact that the participating corporation receives the entire amount back as a tax credit.  It concludes that if a deduction is taken under section 170 and then disallowed, then the remittance should instead be allowed under section 164 or 162 as a payment of state taxes.  </w:t>
      </w:r>
    </w:p>
    <w:p w14:paraId="2413C99F" w14:textId="77777777" w:rsidR="00222F58" w:rsidRPr="003836EE" w:rsidRDefault="00222F58" w:rsidP="00222F58">
      <w:pPr>
        <w:pStyle w:val="NoSpacing"/>
        <w:rPr>
          <w:sz w:val="22"/>
        </w:rPr>
      </w:pPr>
      <w:r w:rsidRPr="003836EE">
        <w:rPr>
          <w:sz w:val="22"/>
        </w:rPr>
        <w:t> </w:t>
      </w:r>
    </w:p>
    <w:p w14:paraId="262A9C33" w14:textId="5277A78D" w:rsidR="00222F58" w:rsidRPr="003836EE" w:rsidRDefault="00222F58" w:rsidP="00222F58">
      <w:pPr>
        <w:pStyle w:val="NoSpacing"/>
        <w:rPr>
          <w:sz w:val="22"/>
        </w:rPr>
      </w:pPr>
      <w:r w:rsidRPr="003836EE">
        <w:rPr>
          <w:sz w:val="22"/>
        </w:rPr>
        <w:t xml:space="preserve">The letter states:  </w:t>
      </w:r>
      <w:r w:rsidR="000D6445">
        <w:rPr>
          <w:sz w:val="22"/>
        </w:rPr>
        <w:t>“</w:t>
      </w:r>
      <w:r w:rsidRPr="003836EE">
        <w:rPr>
          <w:sz w:val="22"/>
        </w:rPr>
        <w:t xml:space="preserve">A charitable contribution deduction under section 170 may </w:t>
      </w:r>
      <w:r w:rsidRPr="003836EE">
        <w:rPr>
          <w:b/>
          <w:bCs/>
          <w:i/>
          <w:iCs/>
          <w:sz w:val="22"/>
          <w:u w:val="single"/>
        </w:rPr>
        <w:t>not</w:t>
      </w:r>
      <w:r w:rsidRPr="003836EE">
        <w:rPr>
          <w:sz w:val="22"/>
        </w:rPr>
        <w:t xml:space="preserve"> be allowable for a payment that qualifies for the Florida Corporate Income Tax Credit if the credit is viewed as a quid pro quo benefit that eliminates the necessary charitable intent for federal tax purposes. </w:t>
      </w:r>
      <w:r w:rsidR="000D6445">
        <w:rPr>
          <w:sz w:val="22"/>
        </w:rPr>
        <w:t xml:space="preserve"> </w:t>
      </w:r>
      <w:r w:rsidRPr="003836EE">
        <w:rPr>
          <w:sz w:val="22"/>
        </w:rPr>
        <w:t xml:space="preserve">However, if receipt of the credit from the state is viewed as a disqualifying benefit, arguably, </w:t>
      </w:r>
      <w:r w:rsidRPr="003836EE">
        <w:rPr>
          <w:b/>
          <w:bCs/>
          <w:i/>
          <w:iCs/>
          <w:sz w:val="22"/>
          <w:u w:val="single"/>
        </w:rPr>
        <w:t>the taxpayer's transfer of the credit to the state to satisfy the taxpayer's state tax liability should be viewed as a payment of state tax for purposes of the federal deduction for tax payments in section 164</w:t>
      </w:r>
      <w:r w:rsidRPr="003836EE">
        <w:rPr>
          <w:sz w:val="22"/>
          <w:u w:val="single"/>
        </w:rPr>
        <w:t xml:space="preserve"> </w:t>
      </w:r>
      <w:r w:rsidRPr="003836EE">
        <w:rPr>
          <w:sz w:val="22"/>
        </w:rPr>
        <w:t>or for section 162.</w:t>
      </w:r>
      <w:r w:rsidR="000D6445">
        <w:rPr>
          <w:sz w:val="22"/>
        </w:rPr>
        <w:t>”</w:t>
      </w:r>
      <w:r w:rsidRPr="003836EE">
        <w:rPr>
          <w:sz w:val="22"/>
        </w:rPr>
        <w:t xml:space="preserve"> (emphasis added) </w:t>
      </w:r>
    </w:p>
    <w:p w14:paraId="4BB71649" w14:textId="77777777" w:rsidR="00222F58" w:rsidRPr="003836EE" w:rsidRDefault="00222F58" w:rsidP="00222F58">
      <w:pPr>
        <w:pStyle w:val="NoSpacing"/>
        <w:rPr>
          <w:sz w:val="22"/>
        </w:rPr>
      </w:pPr>
      <w:r w:rsidRPr="003836EE">
        <w:rPr>
          <w:sz w:val="22"/>
        </w:rPr>
        <w:t> </w:t>
      </w:r>
    </w:p>
    <w:p w14:paraId="49DECC7B" w14:textId="58B30203" w:rsidR="00222F58" w:rsidRPr="003836EE" w:rsidRDefault="00222F58" w:rsidP="00222F58">
      <w:pPr>
        <w:pStyle w:val="NoSpacing"/>
        <w:rPr>
          <w:sz w:val="22"/>
        </w:rPr>
      </w:pPr>
      <w:r w:rsidRPr="003836EE">
        <w:rPr>
          <w:sz w:val="22"/>
        </w:rPr>
        <w:t>In fact, should your company decide to participate and to deduct the full value of their remittance under section 164 or 162 as contemplated by the IRS, they would not be subject to the 10</w:t>
      </w:r>
      <w:r w:rsidR="000D6445">
        <w:rPr>
          <w:sz w:val="22"/>
        </w:rPr>
        <w:t xml:space="preserve"> percent</w:t>
      </w:r>
      <w:r w:rsidRPr="003836EE">
        <w:rPr>
          <w:sz w:val="22"/>
        </w:rPr>
        <w:t xml:space="preserve"> limitation on charitable contributions.  Likewise, if they were to record the remittance the same way in their financials (as a payment of state taxes rather than as a charitable contribution), it would not result in the </w:t>
      </w:r>
      <w:r w:rsidR="000D6445">
        <w:rPr>
          <w:sz w:val="22"/>
        </w:rPr>
        <w:t>“</w:t>
      </w:r>
      <w:r w:rsidRPr="003836EE">
        <w:rPr>
          <w:sz w:val="22"/>
        </w:rPr>
        <w:t>penalty</w:t>
      </w:r>
      <w:r w:rsidR="000D6445">
        <w:rPr>
          <w:sz w:val="22"/>
        </w:rPr>
        <w:t>”</w:t>
      </w:r>
      <w:r w:rsidRPr="003836EE">
        <w:rPr>
          <w:sz w:val="22"/>
        </w:rPr>
        <w:t xml:space="preserve"> of a lower EBITDA.  </w:t>
      </w:r>
    </w:p>
    <w:p w14:paraId="03575BFC" w14:textId="77777777" w:rsidR="009026C3" w:rsidRPr="003836EE" w:rsidRDefault="009026C3" w:rsidP="00BA04B4">
      <w:pPr>
        <w:pStyle w:val="ListParagraph"/>
        <w:rPr>
          <w:b/>
          <w:sz w:val="22"/>
        </w:rPr>
      </w:pPr>
    </w:p>
    <w:p w14:paraId="3742EF05" w14:textId="77777777" w:rsidR="00420ABA" w:rsidRPr="003836EE" w:rsidRDefault="00420ABA" w:rsidP="00420ABA">
      <w:pPr>
        <w:pStyle w:val="ListParagraph"/>
        <w:numPr>
          <w:ilvl w:val="0"/>
          <w:numId w:val="1"/>
        </w:numPr>
        <w:ind w:left="0"/>
        <w:rPr>
          <w:sz w:val="22"/>
        </w:rPr>
      </w:pPr>
      <w:r w:rsidRPr="003836EE">
        <w:rPr>
          <w:b/>
          <w:smallCaps/>
          <w:sz w:val="22"/>
        </w:rPr>
        <w:t>Can my company participate if it is an LLC or S Corp?</w:t>
      </w:r>
    </w:p>
    <w:p w14:paraId="124620C9" w14:textId="314842D4" w:rsidR="00420ABA" w:rsidRPr="003836EE" w:rsidRDefault="00420ABA" w:rsidP="00232318">
      <w:pPr>
        <w:numPr>
          <w:ilvl w:val="0"/>
          <w:numId w:val="14"/>
        </w:numPr>
        <w:shd w:val="clear" w:color="auto" w:fill="FFFFFF"/>
        <w:spacing w:after="0" w:line="240" w:lineRule="auto"/>
        <w:rPr>
          <w:rFonts w:eastAsia="Times New Roman"/>
          <w:color w:val="000000"/>
          <w:sz w:val="22"/>
        </w:rPr>
      </w:pPr>
      <w:r w:rsidRPr="003836EE">
        <w:rPr>
          <w:rFonts w:eastAsia="Times New Roman"/>
          <w:color w:val="000000"/>
          <w:sz w:val="22"/>
          <w:shd w:val="clear" w:color="auto" w:fill="FFFFFF"/>
        </w:rPr>
        <w:t>Alabama: No S-Corp income tax contributions for Alabama. </w:t>
      </w:r>
      <w:r w:rsidR="000D6445">
        <w:rPr>
          <w:rFonts w:eastAsia="Times New Roman"/>
          <w:color w:val="000000"/>
          <w:sz w:val="22"/>
          <w:shd w:val="clear" w:color="auto" w:fill="FFFFFF"/>
        </w:rPr>
        <w:t xml:space="preserve"> </w:t>
      </w:r>
      <w:r w:rsidRPr="003836EE">
        <w:rPr>
          <w:rFonts w:eastAsia="Times New Roman"/>
          <w:color w:val="000000"/>
          <w:sz w:val="22"/>
          <w:shd w:val="clear" w:color="auto" w:fill="FFFFFF"/>
        </w:rPr>
        <w:t>However, an individual (who may happen to be a shareholder of an S-Corp) may contribute up to the lesser of 50</w:t>
      </w:r>
      <w:r w:rsidR="000D6445">
        <w:rPr>
          <w:rFonts w:eastAsia="Times New Roman"/>
          <w:color w:val="000000"/>
          <w:sz w:val="22"/>
          <w:shd w:val="clear" w:color="auto" w:fill="FFFFFF"/>
        </w:rPr>
        <w:t xml:space="preserve"> percent</w:t>
      </w:r>
      <w:r w:rsidRPr="003836EE">
        <w:rPr>
          <w:rFonts w:eastAsia="Times New Roman"/>
          <w:color w:val="000000"/>
          <w:sz w:val="22"/>
          <w:shd w:val="clear" w:color="auto" w:fill="FFFFFF"/>
        </w:rPr>
        <w:t xml:space="preserve"> of their taxes or $7,500.  </w:t>
      </w:r>
    </w:p>
    <w:p w14:paraId="43F0EBD6" w14:textId="565C644A" w:rsidR="00420ABA" w:rsidRPr="003836EE" w:rsidRDefault="00420ABA" w:rsidP="00420ABA">
      <w:pPr>
        <w:numPr>
          <w:ilvl w:val="0"/>
          <w:numId w:val="14"/>
        </w:numPr>
        <w:shd w:val="clear" w:color="auto" w:fill="FFFFFF"/>
        <w:spacing w:after="0" w:line="240" w:lineRule="auto"/>
        <w:rPr>
          <w:rFonts w:eastAsia="Times New Roman"/>
          <w:color w:val="000000"/>
          <w:sz w:val="22"/>
        </w:rPr>
      </w:pPr>
      <w:r w:rsidRPr="003836EE">
        <w:rPr>
          <w:rFonts w:eastAsia="Times New Roman"/>
          <w:color w:val="000000"/>
          <w:sz w:val="22"/>
          <w:shd w:val="clear" w:color="auto" w:fill="FFFFFF"/>
        </w:rPr>
        <w:t>Arizona: Same rules as for regular C-corporations.  </w:t>
      </w:r>
      <w:r w:rsidRPr="003836EE" w:rsidDel="00B30AE6">
        <w:rPr>
          <w:rFonts w:eastAsia="Times New Roman"/>
          <w:color w:val="000000"/>
          <w:sz w:val="22"/>
          <w:shd w:val="clear" w:color="auto" w:fill="FFFFFF"/>
        </w:rPr>
        <w:t xml:space="preserve"> </w:t>
      </w:r>
    </w:p>
    <w:p w14:paraId="588892E1" w14:textId="77777777" w:rsidR="00750273" w:rsidRDefault="00420ABA" w:rsidP="00420ABA">
      <w:pPr>
        <w:numPr>
          <w:ilvl w:val="0"/>
          <w:numId w:val="15"/>
        </w:numPr>
        <w:shd w:val="clear" w:color="auto" w:fill="FFFFFF"/>
        <w:spacing w:after="0" w:line="240" w:lineRule="auto"/>
        <w:rPr>
          <w:rFonts w:eastAsia="Times New Roman"/>
          <w:color w:val="000000"/>
          <w:sz w:val="22"/>
        </w:rPr>
      </w:pPr>
      <w:r w:rsidRPr="003836EE">
        <w:rPr>
          <w:rFonts w:eastAsia="Times New Roman"/>
          <w:color w:val="000000"/>
          <w:sz w:val="22"/>
          <w:shd w:val="clear" w:color="auto" w:fill="FFFFFF"/>
        </w:rPr>
        <w:t>Florida: No S-Corp income tax contributions for Florida.</w:t>
      </w:r>
    </w:p>
    <w:p w14:paraId="0C945A2B" w14:textId="0A77AAA4" w:rsidR="00420ABA" w:rsidRDefault="00420ABA" w:rsidP="00420ABA">
      <w:pPr>
        <w:numPr>
          <w:ilvl w:val="0"/>
          <w:numId w:val="15"/>
        </w:numPr>
        <w:shd w:val="clear" w:color="auto" w:fill="FFFFFF"/>
        <w:spacing w:after="0" w:line="240" w:lineRule="auto"/>
        <w:rPr>
          <w:rFonts w:eastAsia="Times New Roman"/>
          <w:color w:val="000000"/>
          <w:sz w:val="22"/>
        </w:rPr>
      </w:pPr>
      <w:r w:rsidRPr="003836EE">
        <w:rPr>
          <w:rFonts w:eastAsia="Times New Roman"/>
          <w:color w:val="000000"/>
          <w:sz w:val="22"/>
        </w:rPr>
        <w:t xml:space="preserve">Georgia: Each S-Corp shareholder can give up to a maximum of $10,000 each. </w:t>
      </w:r>
    </w:p>
    <w:p w14:paraId="38F5C301" w14:textId="49AF5416" w:rsidR="00750273" w:rsidRPr="00103B24" w:rsidRDefault="00750273" w:rsidP="00420ABA">
      <w:pPr>
        <w:numPr>
          <w:ilvl w:val="0"/>
          <w:numId w:val="15"/>
        </w:numPr>
        <w:shd w:val="clear" w:color="auto" w:fill="FFFFFF"/>
        <w:spacing w:after="0" w:line="240" w:lineRule="auto"/>
        <w:rPr>
          <w:rFonts w:eastAsia="Times New Roman"/>
          <w:color w:val="000000"/>
          <w:sz w:val="22"/>
        </w:rPr>
      </w:pPr>
      <w:r>
        <w:rPr>
          <w:rFonts w:eastAsia="Times New Roman"/>
          <w:color w:val="000000"/>
          <w:sz w:val="22"/>
          <w:shd w:val="clear" w:color="auto" w:fill="FFFFFF"/>
        </w:rPr>
        <w:t>Nevada: Same rules as for regular C-corporations.</w:t>
      </w:r>
    </w:p>
    <w:p w14:paraId="4BF5D7B8" w14:textId="1BD97B63" w:rsidR="00103B24" w:rsidRPr="003836EE" w:rsidRDefault="00103B24" w:rsidP="00103B24">
      <w:pPr>
        <w:numPr>
          <w:ilvl w:val="0"/>
          <w:numId w:val="15"/>
        </w:numPr>
        <w:shd w:val="clear" w:color="auto" w:fill="FFFFFF"/>
        <w:spacing w:after="0" w:line="240" w:lineRule="auto"/>
        <w:rPr>
          <w:rFonts w:eastAsia="Times New Roman"/>
          <w:color w:val="000000"/>
          <w:sz w:val="22"/>
        </w:rPr>
      </w:pPr>
      <w:r>
        <w:rPr>
          <w:rFonts w:eastAsia="Times New Roman"/>
          <w:color w:val="000000"/>
          <w:sz w:val="22"/>
          <w:shd w:val="clear" w:color="auto" w:fill="FFFFFF"/>
        </w:rPr>
        <w:t>Pennsylvania: Up to $750,000 for a partnership or an S-corp.</w:t>
      </w:r>
      <w:r w:rsidRPr="003836EE">
        <w:rPr>
          <w:rFonts w:eastAsia="Times New Roman"/>
          <w:color w:val="000000"/>
          <w:sz w:val="22"/>
        </w:rPr>
        <w:t xml:space="preserve"> </w:t>
      </w:r>
    </w:p>
    <w:p w14:paraId="3BA154E7" w14:textId="77777777" w:rsidR="00420ABA" w:rsidRPr="003836EE" w:rsidRDefault="00420ABA" w:rsidP="00232318">
      <w:pPr>
        <w:pStyle w:val="ListParagraph"/>
        <w:ind w:left="0"/>
        <w:rPr>
          <w:sz w:val="22"/>
        </w:rPr>
      </w:pPr>
    </w:p>
    <w:p w14:paraId="49708918" w14:textId="77777777" w:rsidR="00CE4666" w:rsidRPr="003836EE" w:rsidRDefault="009026C3" w:rsidP="00413A08">
      <w:pPr>
        <w:pStyle w:val="ListParagraph"/>
        <w:numPr>
          <w:ilvl w:val="0"/>
          <w:numId w:val="1"/>
        </w:numPr>
        <w:ind w:left="0"/>
        <w:rPr>
          <w:sz w:val="22"/>
        </w:rPr>
      </w:pPr>
      <w:r w:rsidRPr="003836EE">
        <w:rPr>
          <w:b/>
          <w:smallCaps/>
          <w:sz w:val="22"/>
        </w:rPr>
        <w:t>Can my company participate in these programs anonymously?</w:t>
      </w:r>
    </w:p>
    <w:p w14:paraId="7D48408C" w14:textId="77777777" w:rsidR="00CE4666" w:rsidRPr="003836EE" w:rsidRDefault="00CE4666" w:rsidP="00CE4666">
      <w:pPr>
        <w:pStyle w:val="ListParagraph"/>
        <w:ind w:left="0"/>
        <w:rPr>
          <w:sz w:val="22"/>
        </w:rPr>
      </w:pPr>
    </w:p>
    <w:p w14:paraId="57E12B1A" w14:textId="5EC643D6" w:rsidR="009026C3" w:rsidRPr="003836EE" w:rsidRDefault="009026C3" w:rsidP="00CE4666">
      <w:pPr>
        <w:pStyle w:val="ListParagraph"/>
        <w:ind w:left="0"/>
        <w:rPr>
          <w:sz w:val="22"/>
        </w:rPr>
      </w:pPr>
      <w:r w:rsidRPr="003836EE">
        <w:rPr>
          <w:sz w:val="22"/>
        </w:rPr>
        <w:t xml:space="preserve">Yes, you may keep your company participation in the programs anonymous.  </w:t>
      </w:r>
      <w:r w:rsidR="000D6445">
        <w:rPr>
          <w:sz w:val="22"/>
        </w:rPr>
        <w:t>However,</w:t>
      </w:r>
      <w:r w:rsidRPr="003836EE">
        <w:rPr>
          <w:sz w:val="22"/>
        </w:rPr>
        <w:t xml:space="preserve"> there are many strategies to market your contribution should you decide it is beneficial.  For example</w:t>
      </w:r>
      <w:r w:rsidR="00076A88" w:rsidRPr="003836EE">
        <w:rPr>
          <w:sz w:val="22"/>
        </w:rPr>
        <w:t>:</w:t>
      </w:r>
    </w:p>
    <w:p w14:paraId="743F622E" w14:textId="77777777" w:rsidR="009026C3" w:rsidRPr="003836EE" w:rsidRDefault="009026C3" w:rsidP="00D528CC">
      <w:pPr>
        <w:pStyle w:val="ListParagraph"/>
        <w:ind w:left="0"/>
        <w:rPr>
          <w:sz w:val="22"/>
        </w:rPr>
      </w:pPr>
    </w:p>
    <w:p w14:paraId="3EA66178" w14:textId="77255E27" w:rsidR="009026C3" w:rsidRPr="003836EE" w:rsidRDefault="009026C3" w:rsidP="00D528CC">
      <w:pPr>
        <w:pStyle w:val="ListParagraph"/>
        <w:numPr>
          <w:ilvl w:val="0"/>
          <w:numId w:val="7"/>
        </w:numPr>
        <w:ind w:left="360"/>
        <w:rPr>
          <w:sz w:val="22"/>
        </w:rPr>
      </w:pPr>
      <w:r w:rsidRPr="003836EE">
        <w:rPr>
          <w:b/>
          <w:i/>
          <w:sz w:val="22"/>
        </w:rPr>
        <w:t>Internal marketing</w:t>
      </w:r>
      <w:r w:rsidRPr="003836EE">
        <w:rPr>
          <w:sz w:val="22"/>
        </w:rPr>
        <w:t xml:space="preserve">:  If your company has employees or customers who may be eligible for a scholarship, AAA can work with your human resources </w:t>
      </w:r>
      <w:r w:rsidR="00712E73" w:rsidRPr="003836EE">
        <w:rPr>
          <w:sz w:val="22"/>
        </w:rPr>
        <w:t xml:space="preserve">or communications </w:t>
      </w:r>
      <w:r w:rsidRPr="003836EE">
        <w:rPr>
          <w:sz w:val="22"/>
        </w:rPr>
        <w:t>staff to develop notices</w:t>
      </w:r>
      <w:r w:rsidR="00712E73" w:rsidRPr="003836EE">
        <w:rPr>
          <w:sz w:val="22"/>
        </w:rPr>
        <w:t>,</w:t>
      </w:r>
      <w:r w:rsidRPr="003836EE">
        <w:rPr>
          <w:sz w:val="22"/>
        </w:rPr>
        <w:t xml:space="preserve"> conduct educational events</w:t>
      </w:r>
      <w:r w:rsidR="00712E73" w:rsidRPr="003836EE">
        <w:rPr>
          <w:sz w:val="22"/>
        </w:rPr>
        <w:t xml:space="preserve"> and/or help employees or customers</w:t>
      </w:r>
      <w:r w:rsidRPr="003836EE">
        <w:rPr>
          <w:sz w:val="22"/>
        </w:rPr>
        <w:t xml:space="preserve"> fill out the applications.  We can’t earmark contributions for specific students or employees, but we can assist with marketing.</w:t>
      </w:r>
    </w:p>
    <w:p w14:paraId="0FF5FBA8" w14:textId="6F99F035" w:rsidR="009026C3" w:rsidRPr="003836EE" w:rsidRDefault="009026C3" w:rsidP="00D528CC">
      <w:pPr>
        <w:pStyle w:val="ListParagraph"/>
        <w:numPr>
          <w:ilvl w:val="0"/>
          <w:numId w:val="7"/>
        </w:numPr>
        <w:ind w:left="360"/>
        <w:rPr>
          <w:sz w:val="22"/>
        </w:rPr>
      </w:pPr>
      <w:r w:rsidRPr="003836EE">
        <w:rPr>
          <w:b/>
          <w:i/>
          <w:sz w:val="22"/>
        </w:rPr>
        <w:t xml:space="preserve">External marketing:  </w:t>
      </w:r>
      <w:r w:rsidRPr="003836EE">
        <w:rPr>
          <w:sz w:val="22"/>
        </w:rPr>
        <w:t xml:space="preserve">AAA can work with your marketing team to design community events specific to your social responsibility strategy.  </w:t>
      </w:r>
      <w:r w:rsidR="00076A88" w:rsidRPr="003836EE">
        <w:rPr>
          <w:sz w:val="22"/>
        </w:rPr>
        <w:t xml:space="preserve">For example, we worked with an insurance company that has a bilingual reading program to host a school reading night, and with another company we participate in an annual event at one of their facilities for tours (state and local elected officials invited) and a discussion on education policy. </w:t>
      </w:r>
      <w:r w:rsidR="000D6445">
        <w:rPr>
          <w:sz w:val="22"/>
        </w:rPr>
        <w:t xml:space="preserve"> </w:t>
      </w:r>
      <w:r w:rsidR="00076A88" w:rsidRPr="003836EE">
        <w:rPr>
          <w:sz w:val="22"/>
        </w:rPr>
        <w:t xml:space="preserve">As another example, we can also arrange for check signing presentations at schools or with elected officials.  </w:t>
      </w:r>
      <w:r w:rsidRPr="003836EE">
        <w:rPr>
          <w:sz w:val="22"/>
        </w:rPr>
        <w:t xml:space="preserve">We design each strategy to meet your company’s needs.  </w:t>
      </w:r>
    </w:p>
    <w:p w14:paraId="6AC4254F" w14:textId="77777777" w:rsidR="009026C3" w:rsidRPr="003836EE" w:rsidRDefault="009026C3" w:rsidP="00457C3D">
      <w:pPr>
        <w:pStyle w:val="ListParagraph"/>
        <w:rPr>
          <w:sz w:val="22"/>
        </w:rPr>
      </w:pPr>
    </w:p>
    <w:p w14:paraId="01D83A45" w14:textId="2AA5E6AA" w:rsidR="009026C3" w:rsidRPr="003836EE" w:rsidRDefault="009026C3" w:rsidP="001F1F2F">
      <w:pPr>
        <w:pStyle w:val="ListParagraph"/>
        <w:numPr>
          <w:ilvl w:val="0"/>
          <w:numId w:val="1"/>
        </w:numPr>
        <w:rPr>
          <w:b/>
          <w:smallCaps/>
          <w:sz w:val="22"/>
        </w:rPr>
      </w:pPr>
      <w:r w:rsidRPr="003836EE">
        <w:rPr>
          <w:b/>
          <w:smallCaps/>
          <w:sz w:val="22"/>
        </w:rPr>
        <w:t xml:space="preserve">What constitutes a good </w:t>
      </w:r>
      <w:r w:rsidR="00881610" w:rsidRPr="003836EE">
        <w:rPr>
          <w:b/>
          <w:smallCaps/>
          <w:sz w:val="22"/>
        </w:rPr>
        <w:t>Scholarship Organization</w:t>
      </w:r>
      <w:r w:rsidRPr="003836EE">
        <w:rPr>
          <w:b/>
          <w:smallCaps/>
          <w:sz w:val="22"/>
        </w:rPr>
        <w:t xml:space="preserve">? </w:t>
      </w:r>
    </w:p>
    <w:p w14:paraId="5F401233" w14:textId="7FA10CC6" w:rsidR="009026C3" w:rsidRDefault="009026C3" w:rsidP="00EA7D7C">
      <w:pPr>
        <w:pStyle w:val="NoSpacing"/>
        <w:rPr>
          <w:sz w:val="22"/>
        </w:rPr>
      </w:pPr>
      <w:r w:rsidRPr="003836EE">
        <w:rPr>
          <w:sz w:val="22"/>
        </w:rPr>
        <w:t>You will want to partner with a SO that shares your company’s values.  There is a wide variety of SO’s in most states – many give exclusively to a school or a set of schools (i.e. Catholic</w:t>
      </w:r>
      <w:r w:rsidR="00D528CC" w:rsidRPr="003836EE">
        <w:rPr>
          <w:sz w:val="22"/>
        </w:rPr>
        <w:t>, Episcopal</w:t>
      </w:r>
      <w:r w:rsidRPr="003836EE">
        <w:rPr>
          <w:sz w:val="22"/>
        </w:rPr>
        <w:t>) – and many are small family run enterprises, so you should do your due diligence to ensure that it is a reputable and stable organization.  Questions to ask:</w:t>
      </w:r>
    </w:p>
    <w:p w14:paraId="443FB575" w14:textId="77777777" w:rsidR="0097585B" w:rsidRPr="003836EE" w:rsidRDefault="0097585B" w:rsidP="00EA7D7C">
      <w:pPr>
        <w:pStyle w:val="NoSpacing"/>
        <w:rPr>
          <w:sz w:val="22"/>
        </w:rPr>
      </w:pPr>
    </w:p>
    <w:p w14:paraId="67CBACD1" w14:textId="77777777"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lastRenderedPageBreak/>
        <w:t xml:space="preserve">Does the SO have clean (“unqualified”) audits/reviews for the past three years?  Most good non-profits should have their current audit posted on their website.  </w:t>
      </w:r>
    </w:p>
    <w:p w14:paraId="0BB1AAEA" w14:textId="77777777"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t>Does the SO have a policy against nepotism and/or candidates for office on the payroll?       </w:t>
      </w:r>
    </w:p>
    <w:p w14:paraId="39F69672" w14:textId="77777777"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t>What is their staff experience in running non-profit organizations?</w:t>
      </w:r>
    </w:p>
    <w:p w14:paraId="43F6592C" w14:textId="77777777"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t>Does the SO</w:t>
      </w:r>
      <w:r w:rsidRPr="003C137A">
        <w:rPr>
          <w:rStyle w:val="apple-converted-space"/>
          <w:color w:val="000000"/>
          <w:sz w:val="22"/>
        </w:rPr>
        <w:t> </w:t>
      </w:r>
      <w:r w:rsidRPr="003C137A">
        <w:rPr>
          <w:color w:val="000000"/>
          <w:sz w:val="22"/>
        </w:rPr>
        <w:t>have an outside party endorsement for good practices (i.e. Charity Navigator or GuideStar)?</w:t>
      </w:r>
    </w:p>
    <w:p w14:paraId="5CC7CAF1" w14:textId="501F91BC"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t>How many scholarships did the SO award for FY 201</w:t>
      </w:r>
      <w:r w:rsidR="003312BC">
        <w:rPr>
          <w:color w:val="000000"/>
          <w:sz w:val="22"/>
        </w:rPr>
        <w:t>6</w:t>
      </w:r>
      <w:r w:rsidRPr="003C137A">
        <w:rPr>
          <w:color w:val="000000"/>
          <w:sz w:val="22"/>
        </w:rPr>
        <w:t xml:space="preserve"> and what was the total dollar amount awarded?</w:t>
      </w:r>
    </w:p>
    <w:p w14:paraId="77C17735" w14:textId="47EC5305"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t xml:space="preserve">What percentage </w:t>
      </w:r>
      <w:r w:rsidR="000D1538" w:rsidRPr="003C137A">
        <w:rPr>
          <w:color w:val="000000"/>
          <w:sz w:val="22"/>
        </w:rPr>
        <w:t>of the</w:t>
      </w:r>
      <w:r w:rsidRPr="003C137A">
        <w:rPr>
          <w:color w:val="000000"/>
          <w:sz w:val="22"/>
        </w:rPr>
        <w:t xml:space="preserve"> SO’s FY 201</w:t>
      </w:r>
      <w:r w:rsidR="003312BC">
        <w:rPr>
          <w:color w:val="000000"/>
          <w:sz w:val="22"/>
        </w:rPr>
        <w:t>6</w:t>
      </w:r>
      <w:r w:rsidRPr="003C137A">
        <w:rPr>
          <w:color w:val="000000"/>
          <w:sz w:val="22"/>
        </w:rPr>
        <w:t xml:space="preserve"> annual revenue was awarded to scholarships?</w:t>
      </w:r>
    </w:p>
    <w:p w14:paraId="54072F87" w14:textId="1CB1576B" w:rsidR="0072007C" w:rsidRPr="003C137A" w:rsidRDefault="0072007C" w:rsidP="0072007C">
      <w:pPr>
        <w:numPr>
          <w:ilvl w:val="0"/>
          <w:numId w:val="16"/>
        </w:numPr>
        <w:shd w:val="clear" w:color="auto" w:fill="FFFFFF"/>
        <w:spacing w:after="0" w:line="240" w:lineRule="auto"/>
        <w:rPr>
          <w:color w:val="000000"/>
          <w:sz w:val="22"/>
        </w:rPr>
      </w:pPr>
      <w:r w:rsidRPr="003C137A">
        <w:rPr>
          <w:color w:val="000000"/>
          <w:sz w:val="22"/>
        </w:rPr>
        <w:t>What percentage of the SO’s FY 201</w:t>
      </w:r>
      <w:r w:rsidR="003312BC">
        <w:rPr>
          <w:color w:val="000000"/>
          <w:sz w:val="22"/>
        </w:rPr>
        <w:t>6</w:t>
      </w:r>
      <w:r w:rsidRPr="003C137A">
        <w:rPr>
          <w:color w:val="000000"/>
          <w:sz w:val="22"/>
        </w:rPr>
        <w:t xml:space="preserve"> revenues went to administrative costs?</w:t>
      </w:r>
    </w:p>
    <w:p w14:paraId="32B730E0" w14:textId="77777777" w:rsidR="0072007C" w:rsidRPr="003C137A" w:rsidRDefault="0072007C" w:rsidP="0072007C">
      <w:pPr>
        <w:pStyle w:val="NoSpacing"/>
        <w:numPr>
          <w:ilvl w:val="0"/>
          <w:numId w:val="16"/>
        </w:numPr>
        <w:rPr>
          <w:color w:val="000000"/>
          <w:sz w:val="22"/>
        </w:rPr>
      </w:pPr>
      <w:r w:rsidRPr="003C137A">
        <w:rPr>
          <w:color w:val="000000"/>
          <w:sz w:val="22"/>
        </w:rPr>
        <w:t>Does the SO give the scholarship to the child rather than a school (so that the scholarship is portable for that child should he/she need a different educational setting)?</w:t>
      </w:r>
    </w:p>
    <w:p w14:paraId="38DACB41" w14:textId="3635EE4E" w:rsidR="0072007C" w:rsidRPr="003C137A" w:rsidRDefault="0072007C" w:rsidP="0072007C">
      <w:pPr>
        <w:pStyle w:val="NoSpacing"/>
        <w:numPr>
          <w:ilvl w:val="0"/>
          <w:numId w:val="16"/>
        </w:numPr>
        <w:rPr>
          <w:color w:val="000000"/>
          <w:sz w:val="22"/>
        </w:rPr>
      </w:pPr>
      <w:r w:rsidRPr="003C137A">
        <w:rPr>
          <w:color w:val="000000"/>
          <w:sz w:val="22"/>
          <w:shd w:val="clear" w:color="auto" w:fill="FFFFFF"/>
        </w:rPr>
        <w:t xml:space="preserve">Have the SO explain how they define </w:t>
      </w:r>
      <w:r w:rsidR="000D6445">
        <w:rPr>
          <w:color w:val="000000"/>
          <w:sz w:val="22"/>
          <w:shd w:val="clear" w:color="auto" w:fill="FFFFFF"/>
        </w:rPr>
        <w:t>‘</w:t>
      </w:r>
      <w:r w:rsidRPr="003C137A">
        <w:rPr>
          <w:color w:val="000000"/>
          <w:sz w:val="22"/>
          <w:shd w:val="clear" w:color="auto" w:fill="FFFFFF"/>
        </w:rPr>
        <w:t>low-income</w:t>
      </w:r>
      <w:r w:rsidR="000D6445">
        <w:rPr>
          <w:color w:val="000000"/>
          <w:sz w:val="22"/>
          <w:shd w:val="clear" w:color="auto" w:fill="FFFFFF"/>
        </w:rPr>
        <w:t>’</w:t>
      </w:r>
      <w:r w:rsidRPr="003C137A">
        <w:rPr>
          <w:color w:val="000000"/>
          <w:sz w:val="22"/>
          <w:shd w:val="clear" w:color="auto" w:fill="FFFFFF"/>
        </w:rPr>
        <w:t xml:space="preserve"> or </w:t>
      </w:r>
      <w:r w:rsidR="000D6445">
        <w:rPr>
          <w:color w:val="000000"/>
          <w:sz w:val="22"/>
          <w:shd w:val="clear" w:color="auto" w:fill="FFFFFF"/>
        </w:rPr>
        <w:t>‘</w:t>
      </w:r>
      <w:r w:rsidRPr="003C137A">
        <w:rPr>
          <w:color w:val="000000"/>
          <w:sz w:val="22"/>
          <w:shd w:val="clear" w:color="auto" w:fill="FFFFFF"/>
        </w:rPr>
        <w:t>'economically-disadvantaged</w:t>
      </w:r>
      <w:r w:rsidR="000D6445">
        <w:rPr>
          <w:color w:val="000000"/>
          <w:sz w:val="22"/>
          <w:shd w:val="clear" w:color="auto" w:fill="FFFFFF"/>
        </w:rPr>
        <w:t>.’</w:t>
      </w:r>
    </w:p>
    <w:p w14:paraId="423072C9" w14:textId="77777777" w:rsidR="009026C3" w:rsidRPr="003836EE" w:rsidRDefault="009026C3" w:rsidP="00BA04B4">
      <w:pPr>
        <w:pStyle w:val="ListParagraph"/>
        <w:rPr>
          <w:smallCaps/>
          <w:sz w:val="22"/>
        </w:rPr>
      </w:pPr>
    </w:p>
    <w:p w14:paraId="57B06EB2" w14:textId="77777777" w:rsidR="009026C3" w:rsidRPr="003836EE" w:rsidRDefault="009026C3" w:rsidP="001F1F2F">
      <w:pPr>
        <w:pStyle w:val="ListParagraph"/>
        <w:numPr>
          <w:ilvl w:val="0"/>
          <w:numId w:val="1"/>
        </w:numPr>
        <w:rPr>
          <w:b/>
          <w:smallCaps/>
          <w:sz w:val="22"/>
        </w:rPr>
      </w:pPr>
      <w:r w:rsidRPr="003836EE">
        <w:rPr>
          <w:b/>
          <w:smallCaps/>
          <w:sz w:val="22"/>
        </w:rPr>
        <w:t>How is AAA unique?</w:t>
      </w:r>
    </w:p>
    <w:p w14:paraId="26938F29" w14:textId="3DBA3093" w:rsidR="00EE0499" w:rsidRDefault="0067015C" w:rsidP="00EE0499">
      <w:pPr>
        <w:pStyle w:val="NoSpacing"/>
        <w:rPr>
          <w:sz w:val="22"/>
        </w:rPr>
      </w:pPr>
      <w:r w:rsidRPr="003836EE">
        <w:rPr>
          <w:sz w:val="22"/>
        </w:rPr>
        <w:t xml:space="preserve">AAA </w:t>
      </w:r>
      <w:r w:rsidRPr="003836EE">
        <w:rPr>
          <w:sz w:val="22"/>
        </w:rPr>
        <w:softHyphen/>
        <w:t xml:space="preserve">is the only state approved scholarship organization in the country that is approved to manage state corporate tax credit scholarship </w:t>
      </w:r>
      <w:r w:rsidRPr="00750273">
        <w:rPr>
          <w:sz w:val="22"/>
        </w:rPr>
        <w:t xml:space="preserve">programs in </w:t>
      </w:r>
      <w:r w:rsidR="00103B24">
        <w:rPr>
          <w:sz w:val="22"/>
        </w:rPr>
        <w:t>six</w:t>
      </w:r>
      <w:r w:rsidR="00681698" w:rsidRPr="00750273">
        <w:rPr>
          <w:sz w:val="22"/>
        </w:rPr>
        <w:t xml:space="preserve"> </w:t>
      </w:r>
      <w:r w:rsidRPr="00750273">
        <w:rPr>
          <w:sz w:val="22"/>
        </w:rPr>
        <w:t>states.</w:t>
      </w:r>
      <w:r w:rsidRPr="003836EE">
        <w:rPr>
          <w:sz w:val="22"/>
        </w:rPr>
        <w:t xml:space="preserve">  </w:t>
      </w:r>
      <w:r w:rsidR="00EE0499" w:rsidRPr="003836EE">
        <w:rPr>
          <w:sz w:val="22"/>
        </w:rPr>
        <w:t xml:space="preserve">And many other things make us distinct. </w:t>
      </w:r>
      <w:r w:rsidR="000D6445">
        <w:rPr>
          <w:sz w:val="22"/>
        </w:rPr>
        <w:t xml:space="preserve"> </w:t>
      </w:r>
      <w:r w:rsidR="00EE0499" w:rsidRPr="003836EE">
        <w:rPr>
          <w:sz w:val="22"/>
        </w:rPr>
        <w:t>The AAA Scholarship Foundation: </w:t>
      </w:r>
    </w:p>
    <w:p w14:paraId="5B2116E7" w14:textId="77777777" w:rsidR="0097585B" w:rsidRPr="003836EE" w:rsidRDefault="0097585B" w:rsidP="00EE0499">
      <w:pPr>
        <w:pStyle w:val="NoSpacing"/>
        <w:rPr>
          <w:sz w:val="22"/>
        </w:rPr>
      </w:pPr>
    </w:p>
    <w:p w14:paraId="6031D5CB" w14:textId="77777777" w:rsidR="00B21B80" w:rsidRPr="00B21B80" w:rsidRDefault="00B21B80" w:rsidP="00EE0499">
      <w:pPr>
        <w:pStyle w:val="NoSpacing"/>
        <w:numPr>
          <w:ilvl w:val="0"/>
          <w:numId w:val="10"/>
        </w:numPr>
        <w:rPr>
          <w:sz w:val="22"/>
        </w:rPr>
      </w:pPr>
      <w:r w:rsidRPr="00B21B80">
        <w:rPr>
          <w:rFonts w:eastAsia="Times New Roman"/>
          <w:color w:val="000000"/>
          <w:sz w:val="22"/>
        </w:rPr>
        <w:t xml:space="preserve">has been awarded the prestigious Guide Star Platinum Seal, demonstrating the highest level of good management practices in a non-profit organization.  </w:t>
      </w:r>
    </w:p>
    <w:p w14:paraId="2E4889EF" w14:textId="4776F082" w:rsidR="00EE0499" w:rsidRPr="003836EE" w:rsidRDefault="00110D85" w:rsidP="00EE0499">
      <w:pPr>
        <w:pStyle w:val="NoSpacing"/>
        <w:numPr>
          <w:ilvl w:val="0"/>
          <w:numId w:val="10"/>
        </w:numPr>
        <w:rPr>
          <w:sz w:val="22"/>
        </w:rPr>
      </w:pPr>
      <w:r>
        <w:rPr>
          <w:sz w:val="22"/>
        </w:rPr>
        <w:t>a</w:t>
      </w:r>
      <w:r w:rsidR="00EE0499" w:rsidRPr="003836EE">
        <w:rPr>
          <w:sz w:val="22"/>
        </w:rPr>
        <w:t xml:space="preserve">wards scholarships directly to families - not schools. </w:t>
      </w:r>
    </w:p>
    <w:p w14:paraId="2FE0749C" w14:textId="3FF2D858" w:rsidR="00EE0499" w:rsidRPr="003836EE" w:rsidRDefault="00110D85" w:rsidP="00EE0499">
      <w:pPr>
        <w:pStyle w:val="NoSpacing"/>
        <w:numPr>
          <w:ilvl w:val="0"/>
          <w:numId w:val="10"/>
        </w:numPr>
        <w:rPr>
          <w:sz w:val="22"/>
        </w:rPr>
      </w:pPr>
      <w:r>
        <w:rPr>
          <w:sz w:val="22"/>
        </w:rPr>
        <w:t>a</w:t>
      </w:r>
      <w:r w:rsidR="00EE0499" w:rsidRPr="003836EE">
        <w:rPr>
          <w:sz w:val="22"/>
        </w:rPr>
        <w:t xml:space="preserve">wards scholarships solely to qualifying low-income, disabled and/or displaced students. </w:t>
      </w:r>
    </w:p>
    <w:p w14:paraId="707B72EA" w14:textId="79CFA036" w:rsidR="00CC6F09" w:rsidRPr="003836EE" w:rsidRDefault="00110D85" w:rsidP="00EE0499">
      <w:pPr>
        <w:pStyle w:val="NoSpacing"/>
        <w:numPr>
          <w:ilvl w:val="0"/>
          <w:numId w:val="10"/>
        </w:numPr>
        <w:rPr>
          <w:sz w:val="22"/>
        </w:rPr>
      </w:pPr>
      <w:r>
        <w:rPr>
          <w:sz w:val="22"/>
        </w:rPr>
        <w:t>a</w:t>
      </w:r>
      <w:r w:rsidR="00CC6F09" w:rsidRPr="003836EE">
        <w:rPr>
          <w:sz w:val="22"/>
        </w:rPr>
        <w:t>wards scholarships for at least a 3-year term in states that allow multi-year commitments – we believe that the continuity of an educational setting is important for children to succeed.</w:t>
      </w:r>
    </w:p>
    <w:p w14:paraId="2F7A0823" w14:textId="5E701B89" w:rsidR="00EE0499" w:rsidRPr="003836EE" w:rsidRDefault="00110D85" w:rsidP="00EE0499">
      <w:pPr>
        <w:pStyle w:val="NoSpacing"/>
        <w:numPr>
          <w:ilvl w:val="0"/>
          <w:numId w:val="10"/>
        </w:numPr>
        <w:rPr>
          <w:sz w:val="22"/>
        </w:rPr>
      </w:pPr>
      <w:r>
        <w:rPr>
          <w:sz w:val="22"/>
        </w:rPr>
        <w:t>i</w:t>
      </w:r>
      <w:r w:rsidR="00EE0499" w:rsidRPr="003836EE">
        <w:rPr>
          <w:sz w:val="22"/>
        </w:rPr>
        <w:t xml:space="preserve">s managed by the nation’s leading state corporate tax credit scholarship program professionals with nearly 20 years of experience successfully administering programs. </w:t>
      </w:r>
    </w:p>
    <w:p w14:paraId="7796E74D" w14:textId="7E92494F" w:rsidR="00EE0499" w:rsidRPr="003836EE" w:rsidRDefault="00110D85" w:rsidP="00EE0499">
      <w:pPr>
        <w:pStyle w:val="NoSpacing"/>
        <w:numPr>
          <w:ilvl w:val="0"/>
          <w:numId w:val="10"/>
        </w:numPr>
        <w:rPr>
          <w:sz w:val="22"/>
        </w:rPr>
      </w:pPr>
      <w:r>
        <w:rPr>
          <w:sz w:val="22"/>
        </w:rPr>
        <w:t>h</w:t>
      </w:r>
      <w:r w:rsidR="00EE0499" w:rsidRPr="003836EE">
        <w:rPr>
          <w:sz w:val="22"/>
        </w:rPr>
        <w:t xml:space="preserve">as a CPA on-staff to ensure that your tax questions are answered correctly and to ensure timely and accurate reporting. </w:t>
      </w:r>
    </w:p>
    <w:p w14:paraId="733464D6" w14:textId="671B074C" w:rsidR="00EE0499" w:rsidRDefault="00110D85" w:rsidP="00EE0499">
      <w:pPr>
        <w:pStyle w:val="NoSpacing"/>
        <w:numPr>
          <w:ilvl w:val="0"/>
          <w:numId w:val="10"/>
        </w:numPr>
        <w:rPr>
          <w:sz w:val="22"/>
        </w:rPr>
      </w:pPr>
      <w:r>
        <w:rPr>
          <w:sz w:val="22"/>
        </w:rPr>
        <w:t>li</w:t>
      </w:r>
      <w:r w:rsidR="00EE0499" w:rsidRPr="003836EE">
        <w:rPr>
          <w:sz w:val="22"/>
        </w:rPr>
        <w:t>mits our overhead to 4.14 percent for administrative funding</w:t>
      </w:r>
      <w:r w:rsidR="001C483C">
        <w:rPr>
          <w:sz w:val="22"/>
        </w:rPr>
        <w:t xml:space="preserve"> (3 percent in Florida)</w:t>
      </w:r>
      <w:r w:rsidR="00EE0499" w:rsidRPr="003836EE">
        <w:rPr>
          <w:sz w:val="22"/>
        </w:rPr>
        <w:t>.</w:t>
      </w:r>
    </w:p>
    <w:p w14:paraId="015F06B4" w14:textId="77777777" w:rsidR="003836EE" w:rsidRDefault="003836EE" w:rsidP="003836EE">
      <w:pPr>
        <w:pStyle w:val="NoSpacing"/>
        <w:rPr>
          <w:sz w:val="22"/>
        </w:rPr>
      </w:pPr>
    </w:p>
    <w:p w14:paraId="3590D732" w14:textId="3006FA87" w:rsidR="003836EE" w:rsidRDefault="0097585B" w:rsidP="0097585B">
      <w:pPr>
        <w:pStyle w:val="NoSpacing"/>
        <w:rPr>
          <w:sz w:val="22"/>
        </w:rPr>
      </w:pPr>
      <w:r>
        <w:rPr>
          <w:b/>
          <w:smallCaps/>
          <w:sz w:val="22"/>
        </w:rPr>
        <w:t>12.  Can you describe a typical AAA scholarship recipient?</w:t>
      </w:r>
    </w:p>
    <w:p w14:paraId="760BF684" w14:textId="77777777" w:rsidR="0097585B" w:rsidRDefault="0097585B" w:rsidP="0097585B">
      <w:pPr>
        <w:pStyle w:val="NoSpacing"/>
        <w:rPr>
          <w:sz w:val="22"/>
        </w:rPr>
      </w:pPr>
    </w:p>
    <w:p w14:paraId="5DF0696B" w14:textId="5039AFA5" w:rsidR="0097585B" w:rsidRPr="00A31E76" w:rsidRDefault="00103B24" w:rsidP="0097585B">
      <w:pPr>
        <w:spacing w:after="0" w:line="240" w:lineRule="auto"/>
        <w:rPr>
          <w:rFonts w:eastAsia="Times New Roman"/>
          <w:color w:val="000000" w:themeColor="text1"/>
          <w:sz w:val="22"/>
          <w:szCs w:val="24"/>
        </w:rPr>
      </w:pPr>
      <w:r w:rsidRPr="00A31E76">
        <w:rPr>
          <w:color w:val="000000" w:themeColor="text1"/>
          <w:sz w:val="22"/>
          <w:shd w:val="clear" w:color="auto" w:fill="FFFFFF"/>
        </w:rPr>
        <w:t>The typical AAA Scholarship student is an ethnic minority living with a struggling single parent/caregiver in a high crime community. </w:t>
      </w:r>
      <w:r w:rsidRPr="00A31E76">
        <w:rPr>
          <w:rStyle w:val="apple-converted-space"/>
          <w:color w:val="000000" w:themeColor="text1"/>
          <w:sz w:val="22"/>
          <w:shd w:val="clear" w:color="auto" w:fill="FFFFFF"/>
        </w:rPr>
        <w:t> </w:t>
      </w:r>
      <w:r w:rsidRPr="00A31E76">
        <w:rPr>
          <w:color w:val="000000" w:themeColor="text1"/>
          <w:sz w:val="22"/>
          <w:shd w:val="clear" w:color="auto" w:fill="FFFFFF"/>
        </w:rPr>
        <w:t>More than 85 percent of AAA scholarships are distributed to children at or below 185 percent of poverty. </w:t>
      </w:r>
      <w:r w:rsidRPr="00A31E76">
        <w:rPr>
          <w:rStyle w:val="apple-converted-space"/>
          <w:color w:val="000000" w:themeColor="text1"/>
          <w:sz w:val="22"/>
          <w:shd w:val="clear" w:color="auto" w:fill="FFFFFF"/>
        </w:rPr>
        <w:t> </w:t>
      </w:r>
      <w:r w:rsidRPr="00A31E76">
        <w:rPr>
          <w:color w:val="000000" w:themeColor="text1"/>
          <w:sz w:val="22"/>
          <w:shd w:val="clear" w:color="auto" w:fill="FFFFFF"/>
        </w:rPr>
        <w:t>Many children are either below grade level, failing at their previous school or both when they receive a scholarship.  Parents, who find their children in these circumstances and care about their future, look for viable options.  They seek an atmosphere that challenges their child and will reverse inadequate learning, social patterns and the potential lifelong negative impact.  They wish to change their child’s learning environment, acquaintances and the unfortunate predictable outcomes associated with school failure.</w:t>
      </w:r>
      <w:r w:rsidR="000D6445" w:rsidRPr="00A31E76">
        <w:rPr>
          <w:rFonts w:eastAsia="Times New Roman"/>
          <w:color w:val="000000" w:themeColor="text1"/>
          <w:sz w:val="22"/>
          <w:szCs w:val="24"/>
        </w:rPr>
        <w:t xml:space="preserve"> </w:t>
      </w:r>
      <w:r w:rsidR="000D1538">
        <w:rPr>
          <w:rFonts w:eastAsia="Times New Roman"/>
          <w:color w:val="000000" w:themeColor="text1"/>
          <w:sz w:val="22"/>
          <w:szCs w:val="24"/>
        </w:rPr>
        <w:t xml:space="preserve"> </w:t>
      </w:r>
      <w:r w:rsidR="0097585B" w:rsidRPr="00A31E76">
        <w:rPr>
          <w:rFonts w:eastAsia="Times New Roman"/>
          <w:color w:val="000000" w:themeColor="text1"/>
          <w:sz w:val="22"/>
          <w:szCs w:val="24"/>
        </w:rPr>
        <w:t>Your contributions to AAA provide the lifelines that these parents need.</w:t>
      </w:r>
    </w:p>
    <w:p w14:paraId="2FEBDBCB" w14:textId="77777777" w:rsidR="0097585B" w:rsidRDefault="0097585B" w:rsidP="0097585B">
      <w:pPr>
        <w:pStyle w:val="NoSpacing"/>
        <w:rPr>
          <w:sz w:val="22"/>
        </w:rPr>
      </w:pPr>
    </w:p>
    <w:p w14:paraId="089735FC" w14:textId="63C9FF2B" w:rsidR="0097585B" w:rsidRPr="0097585B" w:rsidRDefault="0097585B" w:rsidP="00961068">
      <w:pPr>
        <w:pStyle w:val="NoSpacing"/>
        <w:ind w:left="720" w:firstLine="720"/>
        <w:rPr>
          <w:i/>
          <w:sz w:val="22"/>
        </w:rPr>
      </w:pPr>
      <w:r w:rsidRPr="0097585B">
        <w:rPr>
          <w:i/>
          <w:sz w:val="22"/>
        </w:rPr>
        <w:t>“As a parent, you want to do anything possible to ensure your children are successful.</w:t>
      </w:r>
    </w:p>
    <w:p w14:paraId="2BFEBADF" w14:textId="574F0A1C" w:rsidR="0097585B" w:rsidRPr="0097585B" w:rsidRDefault="0097585B" w:rsidP="00961068">
      <w:pPr>
        <w:pStyle w:val="NoSpacing"/>
        <w:ind w:left="720" w:firstLine="720"/>
        <w:rPr>
          <w:i/>
          <w:sz w:val="22"/>
        </w:rPr>
      </w:pPr>
      <w:r w:rsidRPr="0097585B">
        <w:rPr>
          <w:i/>
          <w:sz w:val="22"/>
        </w:rPr>
        <w:t>The AAA Scholarship Foundation helped to ease the financial burden I faced and made</w:t>
      </w:r>
    </w:p>
    <w:p w14:paraId="6653CAEF" w14:textId="0E43A6D2" w:rsidR="0097585B" w:rsidRPr="0097585B" w:rsidRDefault="0097585B" w:rsidP="00961068">
      <w:pPr>
        <w:pStyle w:val="NoSpacing"/>
        <w:ind w:left="720" w:firstLine="720"/>
        <w:rPr>
          <w:i/>
          <w:sz w:val="22"/>
        </w:rPr>
      </w:pPr>
      <w:r w:rsidRPr="0097585B">
        <w:rPr>
          <w:i/>
          <w:sz w:val="22"/>
        </w:rPr>
        <w:t>it possible for me to send my son to a school where he has been able to reach his full</w:t>
      </w:r>
    </w:p>
    <w:p w14:paraId="379D2F6E" w14:textId="5463872D" w:rsidR="0097585B" w:rsidRPr="0097585B" w:rsidRDefault="0097585B" w:rsidP="00961068">
      <w:pPr>
        <w:pStyle w:val="NoSpacing"/>
        <w:ind w:left="720" w:firstLine="720"/>
        <w:rPr>
          <w:i/>
          <w:sz w:val="22"/>
        </w:rPr>
      </w:pPr>
      <w:r w:rsidRPr="0097585B">
        <w:rPr>
          <w:i/>
          <w:sz w:val="22"/>
        </w:rPr>
        <w:t>potential and develop into a young man that cares about his community and has goals</w:t>
      </w:r>
    </w:p>
    <w:p w14:paraId="24316B6D" w14:textId="0945AEBB" w:rsidR="0097585B" w:rsidRPr="0097585B" w:rsidRDefault="0097585B" w:rsidP="00961068">
      <w:pPr>
        <w:pStyle w:val="NoSpacing"/>
        <w:ind w:left="720" w:firstLine="720"/>
        <w:rPr>
          <w:i/>
          <w:sz w:val="22"/>
        </w:rPr>
      </w:pPr>
      <w:r w:rsidRPr="0097585B">
        <w:rPr>
          <w:i/>
          <w:sz w:val="22"/>
        </w:rPr>
        <w:t>for the future.  I am forever grateful to those that make this program possible.”</w:t>
      </w:r>
    </w:p>
    <w:p w14:paraId="04981DB0" w14:textId="09706681" w:rsidR="0097585B" w:rsidRPr="0097585B" w:rsidRDefault="0097585B" w:rsidP="00961068">
      <w:pPr>
        <w:pStyle w:val="NoSpacing"/>
        <w:ind w:left="3600" w:firstLine="720"/>
        <w:rPr>
          <w:sz w:val="22"/>
        </w:rPr>
      </w:pPr>
      <w:r w:rsidRPr="0097585B">
        <w:rPr>
          <w:i/>
          <w:sz w:val="22"/>
        </w:rPr>
        <w:t>-- Parent of AAA Scholarship Foundation Student</w:t>
      </w:r>
    </w:p>
    <w:sectPr w:rsidR="0097585B" w:rsidRPr="0097585B" w:rsidSect="00CD0C4E">
      <w:footerReference w:type="default" r:id="rId9"/>
      <w:pgSz w:w="12240" w:h="15840"/>
      <w:pgMar w:top="864"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C94D" w14:textId="77777777" w:rsidR="00B20FCE" w:rsidRDefault="00B20FCE" w:rsidP="00BA04B4">
      <w:pPr>
        <w:spacing w:after="0" w:line="240" w:lineRule="auto"/>
      </w:pPr>
      <w:r>
        <w:separator/>
      </w:r>
    </w:p>
  </w:endnote>
  <w:endnote w:type="continuationSeparator" w:id="0">
    <w:p w14:paraId="43DE0052" w14:textId="77777777" w:rsidR="00B20FCE" w:rsidRDefault="00B20FCE" w:rsidP="00BA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F1A0" w14:textId="3615CF1F" w:rsidR="00927966" w:rsidRPr="00927966" w:rsidRDefault="00927966" w:rsidP="00927966">
    <w:pPr>
      <w:pStyle w:val="Footer"/>
      <w:jc w:val="center"/>
      <w:rPr>
        <w:rFonts w:ascii="Verdana" w:eastAsia="Times New Roman" w:hAnsi="Verdana"/>
        <w:color w:val="000066"/>
        <w:sz w:val="16"/>
        <w:szCs w:val="16"/>
      </w:rPr>
    </w:pPr>
    <w:r w:rsidRPr="00927966">
      <w:rPr>
        <w:rFonts w:ascii="Verdana" w:eastAsia="Times New Roman" w:hAnsi="Verdana"/>
        <w:color w:val="000066"/>
        <w:sz w:val="16"/>
        <w:szCs w:val="16"/>
      </w:rPr>
      <w:t xml:space="preserve">Offices: Alabama </w:t>
    </w:r>
    <w:r w:rsidRPr="00927966">
      <w:rPr>
        <w:rFonts w:ascii="Verdana" w:eastAsia="Times New Roman" w:hAnsi="Verdana"/>
        <w:color w:val="CC0000"/>
        <w:sz w:val="16"/>
        <w:szCs w:val="16"/>
      </w:rPr>
      <w:sym w:font="Symbol" w:char="F0B7"/>
    </w:r>
    <w:r w:rsidRPr="00927966">
      <w:rPr>
        <w:rFonts w:ascii="Verdana" w:eastAsia="Times New Roman" w:hAnsi="Verdana"/>
        <w:color w:val="CC0000"/>
        <w:sz w:val="16"/>
        <w:szCs w:val="16"/>
      </w:rPr>
      <w:t xml:space="preserve"> </w:t>
    </w:r>
    <w:r w:rsidRPr="00927966">
      <w:rPr>
        <w:rFonts w:ascii="Verdana" w:eastAsia="Times New Roman" w:hAnsi="Verdana"/>
        <w:color w:val="000066"/>
        <w:sz w:val="16"/>
        <w:szCs w:val="16"/>
      </w:rPr>
      <w:t xml:space="preserve">Arizona </w:t>
    </w:r>
    <w:r w:rsidRPr="00927966">
      <w:rPr>
        <w:rFonts w:ascii="Verdana" w:eastAsia="Times New Roman" w:hAnsi="Verdana"/>
        <w:color w:val="CC0000"/>
        <w:sz w:val="16"/>
        <w:szCs w:val="16"/>
      </w:rPr>
      <w:sym w:font="Symbol" w:char="F0B7"/>
    </w:r>
    <w:r w:rsidRPr="00927966">
      <w:rPr>
        <w:rFonts w:ascii="Verdana" w:eastAsia="Times New Roman" w:hAnsi="Verdana"/>
        <w:color w:val="000066"/>
        <w:sz w:val="16"/>
        <w:szCs w:val="16"/>
      </w:rPr>
      <w:t xml:space="preserve"> Florida </w:t>
    </w:r>
    <w:r w:rsidRPr="00927966">
      <w:rPr>
        <w:rFonts w:ascii="Verdana" w:eastAsia="Times New Roman" w:hAnsi="Verdana"/>
        <w:color w:val="CC0000"/>
        <w:sz w:val="16"/>
        <w:szCs w:val="16"/>
      </w:rPr>
      <w:sym w:font="Symbol" w:char="F0B7"/>
    </w:r>
    <w:r w:rsidRPr="00927966">
      <w:rPr>
        <w:rFonts w:ascii="Verdana" w:eastAsia="Times New Roman" w:hAnsi="Verdana"/>
        <w:color w:val="000066"/>
        <w:sz w:val="16"/>
        <w:szCs w:val="16"/>
      </w:rPr>
      <w:t xml:space="preserve"> Georgia </w:t>
    </w:r>
    <w:r w:rsidRPr="00927966">
      <w:rPr>
        <w:rFonts w:ascii="Verdana" w:eastAsia="Times New Roman" w:hAnsi="Verdana"/>
        <w:color w:val="CC0000"/>
        <w:sz w:val="16"/>
        <w:szCs w:val="16"/>
      </w:rPr>
      <w:sym w:font="Symbol" w:char="F0B7"/>
    </w:r>
    <w:r w:rsidRPr="00927966">
      <w:rPr>
        <w:rFonts w:ascii="Verdana" w:eastAsia="Times New Roman" w:hAnsi="Verdana"/>
        <w:color w:val="000066"/>
        <w:sz w:val="16"/>
        <w:szCs w:val="16"/>
      </w:rPr>
      <w:t xml:space="preserve"> </w:t>
    </w:r>
    <w:r w:rsidR="005850AF">
      <w:rPr>
        <w:rFonts w:ascii="Verdana" w:eastAsia="Times New Roman" w:hAnsi="Verdana"/>
        <w:color w:val="000066"/>
        <w:sz w:val="16"/>
        <w:szCs w:val="16"/>
      </w:rPr>
      <w:t>Nevada</w:t>
    </w:r>
    <w:r w:rsidR="00103B24">
      <w:rPr>
        <w:rFonts w:ascii="Verdana" w:eastAsia="Times New Roman" w:hAnsi="Verdana"/>
        <w:color w:val="000066"/>
        <w:sz w:val="16"/>
        <w:szCs w:val="16"/>
      </w:rPr>
      <w:t xml:space="preserve"> </w:t>
    </w:r>
    <w:r w:rsidR="00103B24" w:rsidRPr="00927966">
      <w:rPr>
        <w:rFonts w:ascii="Verdana" w:eastAsia="Times New Roman" w:hAnsi="Verdana"/>
        <w:color w:val="CC0000"/>
        <w:sz w:val="16"/>
        <w:szCs w:val="16"/>
      </w:rPr>
      <w:sym w:font="Symbol" w:char="F0B7"/>
    </w:r>
    <w:r w:rsidR="00103B24" w:rsidRPr="00927966">
      <w:rPr>
        <w:rFonts w:ascii="Verdana" w:eastAsia="Times New Roman" w:hAnsi="Verdana"/>
        <w:color w:val="000066"/>
        <w:sz w:val="16"/>
        <w:szCs w:val="16"/>
      </w:rPr>
      <w:t xml:space="preserve"> </w:t>
    </w:r>
    <w:r w:rsidR="00103B24">
      <w:rPr>
        <w:rFonts w:ascii="Verdana" w:eastAsia="Times New Roman" w:hAnsi="Verdana"/>
        <w:color w:val="000066"/>
        <w:sz w:val="16"/>
        <w:szCs w:val="16"/>
      </w:rPr>
      <w:t xml:space="preserve">Pennsylvania </w:t>
    </w:r>
    <w:r w:rsidR="00103B24">
      <w:rPr>
        <w:rFonts w:ascii="Verdana" w:eastAsia="Times New Roman" w:hAnsi="Verdana"/>
        <w:color w:val="CC0000"/>
        <w:sz w:val="16"/>
        <w:szCs w:val="16"/>
      </w:rPr>
      <w:t xml:space="preserve"> </w:t>
    </w:r>
    <w:r w:rsidR="005850AF">
      <w:rPr>
        <w:rFonts w:ascii="Verdana" w:eastAsia="Times New Roman" w:hAnsi="Verdana"/>
        <w:color w:val="000066"/>
        <w:sz w:val="16"/>
        <w:szCs w:val="16"/>
      </w:rPr>
      <w:t xml:space="preserve"> </w:t>
    </w:r>
    <w:r w:rsidR="00110D85">
      <w:rPr>
        <w:rFonts w:ascii="Verdana" w:eastAsia="Times New Roman" w:hAnsi="Verdana"/>
        <w:color w:val="CC0000"/>
        <w:sz w:val="16"/>
        <w:szCs w:val="16"/>
      </w:rPr>
      <w:t xml:space="preserve"> </w:t>
    </w:r>
  </w:p>
  <w:p w14:paraId="4B8B8C11" w14:textId="11F1EEDF" w:rsidR="009026C3" w:rsidRPr="00B21B80" w:rsidRDefault="00927966" w:rsidP="00B21B80">
    <w:pPr>
      <w:tabs>
        <w:tab w:val="center" w:pos="4680"/>
        <w:tab w:val="right" w:pos="9360"/>
      </w:tabs>
      <w:spacing w:after="0" w:line="240" w:lineRule="auto"/>
      <w:jc w:val="center"/>
      <w:rPr>
        <w:rFonts w:ascii="Verdana" w:eastAsia="Times New Roman" w:hAnsi="Verdana"/>
        <w:color w:val="000066"/>
        <w:sz w:val="16"/>
        <w:szCs w:val="16"/>
      </w:rPr>
    </w:pPr>
    <w:r w:rsidRPr="00927966">
      <w:rPr>
        <w:rFonts w:ascii="Verdana" w:eastAsia="Times New Roman" w:hAnsi="Verdana"/>
        <w:color w:val="000066"/>
        <w:sz w:val="16"/>
        <w:szCs w:val="16"/>
      </w:rPr>
      <w:t xml:space="preserve">Phone and Fax: 888-707-2465 </w:t>
    </w:r>
    <w:r w:rsidRPr="00927966">
      <w:rPr>
        <w:rFonts w:ascii="Verdana" w:eastAsia="Times New Roman" w:hAnsi="Verdana"/>
        <w:color w:val="CC0000"/>
        <w:sz w:val="16"/>
        <w:szCs w:val="16"/>
      </w:rPr>
      <w:sym w:font="Symbol" w:char="F0B7"/>
    </w:r>
    <w:r w:rsidRPr="00927966">
      <w:rPr>
        <w:rFonts w:ascii="Verdana" w:eastAsia="Times New Roman" w:hAnsi="Verdana"/>
        <w:color w:val="000066"/>
        <w:sz w:val="16"/>
        <w:szCs w:val="16"/>
      </w:rPr>
      <w:t xml:space="preserve"> Website: </w:t>
    </w:r>
    <w:hyperlink r:id="rId1" w:history="1">
      <w:r w:rsidR="00EB784C" w:rsidRPr="00F12C76">
        <w:rPr>
          <w:rStyle w:val="Hyperlink"/>
          <w:rFonts w:ascii="Verdana" w:eastAsia="Times New Roman" w:hAnsi="Verdana"/>
          <w:sz w:val="16"/>
          <w:szCs w:val="16"/>
        </w:rPr>
        <w:t>www.aaascholarships.org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A1AD" w14:textId="77777777" w:rsidR="00B20FCE" w:rsidRDefault="00B20FCE" w:rsidP="00BA04B4">
      <w:pPr>
        <w:spacing w:after="0" w:line="240" w:lineRule="auto"/>
      </w:pPr>
      <w:r>
        <w:separator/>
      </w:r>
    </w:p>
  </w:footnote>
  <w:footnote w:type="continuationSeparator" w:id="0">
    <w:p w14:paraId="0ACD2433" w14:textId="77777777" w:rsidR="00B20FCE" w:rsidRDefault="00B20FCE" w:rsidP="00BA0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D3D"/>
    <w:multiLevelType w:val="hybridMultilevel"/>
    <w:tmpl w:val="6E1EF470"/>
    <w:lvl w:ilvl="0" w:tplc="1F2E9D70">
      <w:start w:val="5"/>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3F40"/>
    <w:multiLevelType w:val="hybridMultilevel"/>
    <w:tmpl w:val="D37A9D6A"/>
    <w:lvl w:ilvl="0" w:tplc="05249A5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4A73"/>
    <w:multiLevelType w:val="multilevel"/>
    <w:tmpl w:val="DB2A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30C52"/>
    <w:multiLevelType w:val="multilevel"/>
    <w:tmpl w:val="ADBC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9217E"/>
    <w:multiLevelType w:val="hybridMultilevel"/>
    <w:tmpl w:val="15D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478D"/>
    <w:multiLevelType w:val="hybridMultilevel"/>
    <w:tmpl w:val="53EE5F2C"/>
    <w:lvl w:ilvl="0" w:tplc="F3BAE3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96AB5"/>
    <w:multiLevelType w:val="hybridMultilevel"/>
    <w:tmpl w:val="032AB0CA"/>
    <w:lvl w:ilvl="0" w:tplc="F3BAE3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3295"/>
    <w:multiLevelType w:val="hybridMultilevel"/>
    <w:tmpl w:val="7CE4DEF0"/>
    <w:lvl w:ilvl="0" w:tplc="9A3C986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611FC"/>
    <w:multiLevelType w:val="hybridMultilevel"/>
    <w:tmpl w:val="289431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F524874"/>
    <w:multiLevelType w:val="hybridMultilevel"/>
    <w:tmpl w:val="91921A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1B24E63"/>
    <w:multiLevelType w:val="hybridMultilevel"/>
    <w:tmpl w:val="69A66F70"/>
    <w:lvl w:ilvl="0" w:tplc="B1661B2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4627F"/>
    <w:multiLevelType w:val="hybridMultilevel"/>
    <w:tmpl w:val="C71CFC2E"/>
    <w:lvl w:ilvl="0" w:tplc="F3BAE3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34B39"/>
    <w:multiLevelType w:val="hybridMultilevel"/>
    <w:tmpl w:val="C764D0D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EB224AE"/>
    <w:multiLevelType w:val="hybridMultilevel"/>
    <w:tmpl w:val="CD409310"/>
    <w:lvl w:ilvl="0" w:tplc="83F4CD18">
      <w:start w:val="5"/>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C32095"/>
    <w:multiLevelType w:val="hybridMultilevel"/>
    <w:tmpl w:val="7E90FAFC"/>
    <w:lvl w:ilvl="0" w:tplc="1D827450">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A7A3E"/>
    <w:multiLevelType w:val="hybridMultilevel"/>
    <w:tmpl w:val="CEB4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4"/>
  </w:num>
  <w:num w:numId="6">
    <w:abstractNumId w:val="1"/>
  </w:num>
  <w:num w:numId="7">
    <w:abstractNumId w:val="13"/>
  </w:num>
  <w:num w:numId="8">
    <w:abstractNumId w:val="15"/>
  </w:num>
  <w:num w:numId="9">
    <w:abstractNumId w:val="4"/>
  </w:num>
  <w:num w:numId="10">
    <w:abstractNumId w:val="2"/>
  </w:num>
  <w:num w:numId="11">
    <w:abstractNumId w:val="5"/>
  </w:num>
  <w:num w:numId="12">
    <w:abstractNumId w:val="6"/>
  </w:num>
  <w:num w:numId="13">
    <w:abstractNumId w:val="11"/>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2F"/>
    <w:rsid w:val="00013F89"/>
    <w:rsid w:val="00022C29"/>
    <w:rsid w:val="00042210"/>
    <w:rsid w:val="00076A88"/>
    <w:rsid w:val="000A6737"/>
    <w:rsid w:val="000B3742"/>
    <w:rsid w:val="000C2E38"/>
    <w:rsid w:val="000D1538"/>
    <w:rsid w:val="000D6445"/>
    <w:rsid w:val="00103B24"/>
    <w:rsid w:val="00104E0F"/>
    <w:rsid w:val="00110D85"/>
    <w:rsid w:val="00167C9F"/>
    <w:rsid w:val="001C483C"/>
    <w:rsid w:val="001D7B4F"/>
    <w:rsid w:val="001F1F2F"/>
    <w:rsid w:val="00222F58"/>
    <w:rsid w:val="00232318"/>
    <w:rsid w:val="0026222E"/>
    <w:rsid w:val="00272980"/>
    <w:rsid w:val="00292F9C"/>
    <w:rsid w:val="002A3DC3"/>
    <w:rsid w:val="002C553C"/>
    <w:rsid w:val="002F160A"/>
    <w:rsid w:val="002F57F7"/>
    <w:rsid w:val="002F7AC7"/>
    <w:rsid w:val="003060B9"/>
    <w:rsid w:val="00326A87"/>
    <w:rsid w:val="003312BC"/>
    <w:rsid w:val="003830A7"/>
    <w:rsid w:val="003836EE"/>
    <w:rsid w:val="003968C3"/>
    <w:rsid w:val="0039749C"/>
    <w:rsid w:val="003C7E98"/>
    <w:rsid w:val="00420ABA"/>
    <w:rsid w:val="00457C3D"/>
    <w:rsid w:val="004A11B1"/>
    <w:rsid w:val="004D2400"/>
    <w:rsid w:val="004F4202"/>
    <w:rsid w:val="005478A4"/>
    <w:rsid w:val="00552440"/>
    <w:rsid w:val="005742FC"/>
    <w:rsid w:val="005850AF"/>
    <w:rsid w:val="005A2961"/>
    <w:rsid w:val="005E4F63"/>
    <w:rsid w:val="005F6875"/>
    <w:rsid w:val="00600C9B"/>
    <w:rsid w:val="0067015C"/>
    <w:rsid w:val="00681698"/>
    <w:rsid w:val="00712E73"/>
    <w:rsid w:val="0072007C"/>
    <w:rsid w:val="00733844"/>
    <w:rsid w:val="00741D4F"/>
    <w:rsid w:val="00750273"/>
    <w:rsid w:val="00765E05"/>
    <w:rsid w:val="007D703F"/>
    <w:rsid w:val="007E17F0"/>
    <w:rsid w:val="0082603F"/>
    <w:rsid w:val="0086153A"/>
    <w:rsid w:val="00862635"/>
    <w:rsid w:val="00881610"/>
    <w:rsid w:val="008B1785"/>
    <w:rsid w:val="008B51F0"/>
    <w:rsid w:val="008B725A"/>
    <w:rsid w:val="008C4CA4"/>
    <w:rsid w:val="008E0949"/>
    <w:rsid w:val="009026C3"/>
    <w:rsid w:val="009155FD"/>
    <w:rsid w:val="00927966"/>
    <w:rsid w:val="00961068"/>
    <w:rsid w:val="00962191"/>
    <w:rsid w:val="0097585B"/>
    <w:rsid w:val="009B6C1D"/>
    <w:rsid w:val="009C5578"/>
    <w:rsid w:val="009D7815"/>
    <w:rsid w:val="009E6421"/>
    <w:rsid w:val="009F5DAD"/>
    <w:rsid w:val="009F6A61"/>
    <w:rsid w:val="00A1217D"/>
    <w:rsid w:val="00A31E76"/>
    <w:rsid w:val="00A74235"/>
    <w:rsid w:val="00A864A8"/>
    <w:rsid w:val="00A93163"/>
    <w:rsid w:val="00AB108D"/>
    <w:rsid w:val="00B20FCE"/>
    <w:rsid w:val="00B21B80"/>
    <w:rsid w:val="00B5477C"/>
    <w:rsid w:val="00B63CC7"/>
    <w:rsid w:val="00B82830"/>
    <w:rsid w:val="00B94F7D"/>
    <w:rsid w:val="00BA04B4"/>
    <w:rsid w:val="00BC386D"/>
    <w:rsid w:val="00BD0CC2"/>
    <w:rsid w:val="00BD6C18"/>
    <w:rsid w:val="00C11C18"/>
    <w:rsid w:val="00C63BAC"/>
    <w:rsid w:val="00C66EC2"/>
    <w:rsid w:val="00CA07A6"/>
    <w:rsid w:val="00CB0676"/>
    <w:rsid w:val="00CB090B"/>
    <w:rsid w:val="00CB5664"/>
    <w:rsid w:val="00CC6F09"/>
    <w:rsid w:val="00CD0C4E"/>
    <w:rsid w:val="00CE4666"/>
    <w:rsid w:val="00D203C8"/>
    <w:rsid w:val="00D32236"/>
    <w:rsid w:val="00D32F21"/>
    <w:rsid w:val="00D42390"/>
    <w:rsid w:val="00D528CC"/>
    <w:rsid w:val="00DA4BA6"/>
    <w:rsid w:val="00DB0687"/>
    <w:rsid w:val="00DB5E7B"/>
    <w:rsid w:val="00DC3F30"/>
    <w:rsid w:val="00DE5CAC"/>
    <w:rsid w:val="00E06E39"/>
    <w:rsid w:val="00E20C14"/>
    <w:rsid w:val="00E47EAF"/>
    <w:rsid w:val="00E97860"/>
    <w:rsid w:val="00EA7D7C"/>
    <w:rsid w:val="00EB2A49"/>
    <w:rsid w:val="00EB784C"/>
    <w:rsid w:val="00EC4C4B"/>
    <w:rsid w:val="00ED43B1"/>
    <w:rsid w:val="00EE0499"/>
    <w:rsid w:val="00FB1C5C"/>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B15D3"/>
  <w15:docId w15:val="{29AA9E4B-0FC6-4073-A77D-4676ADB6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A8"/>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2F"/>
    <w:rPr>
      <w:sz w:val="24"/>
      <w:szCs w:val="22"/>
    </w:rPr>
  </w:style>
  <w:style w:type="paragraph" w:styleId="ListParagraph">
    <w:name w:val="List Paragraph"/>
    <w:basedOn w:val="Normal"/>
    <w:uiPriority w:val="99"/>
    <w:qFormat/>
    <w:rsid w:val="001F1F2F"/>
    <w:pPr>
      <w:ind w:left="720"/>
      <w:contextualSpacing/>
    </w:pPr>
  </w:style>
  <w:style w:type="table" w:styleId="TableGrid">
    <w:name w:val="Table Grid"/>
    <w:basedOn w:val="TableNormal"/>
    <w:uiPriority w:val="99"/>
    <w:rsid w:val="0086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04B4"/>
    <w:pPr>
      <w:tabs>
        <w:tab w:val="center" w:pos="4680"/>
        <w:tab w:val="right" w:pos="9360"/>
      </w:tabs>
      <w:spacing w:after="0" w:line="240" w:lineRule="auto"/>
    </w:pPr>
  </w:style>
  <w:style w:type="character" w:customStyle="1" w:styleId="HeaderChar">
    <w:name w:val="Header Char"/>
    <w:link w:val="Header"/>
    <w:uiPriority w:val="99"/>
    <w:locked/>
    <w:rsid w:val="00BA04B4"/>
    <w:rPr>
      <w:rFonts w:cs="Times New Roman"/>
    </w:rPr>
  </w:style>
  <w:style w:type="paragraph" w:styleId="Footer">
    <w:name w:val="footer"/>
    <w:basedOn w:val="Normal"/>
    <w:link w:val="FooterChar"/>
    <w:uiPriority w:val="99"/>
    <w:rsid w:val="00BA04B4"/>
    <w:pPr>
      <w:tabs>
        <w:tab w:val="center" w:pos="4680"/>
        <w:tab w:val="right" w:pos="9360"/>
      </w:tabs>
      <w:spacing w:after="0" w:line="240" w:lineRule="auto"/>
    </w:pPr>
  </w:style>
  <w:style w:type="character" w:customStyle="1" w:styleId="FooterChar">
    <w:name w:val="Footer Char"/>
    <w:link w:val="Footer"/>
    <w:uiPriority w:val="99"/>
    <w:locked/>
    <w:rsid w:val="00BA04B4"/>
    <w:rPr>
      <w:rFonts w:cs="Times New Roman"/>
    </w:rPr>
  </w:style>
  <w:style w:type="character" w:styleId="Hyperlink">
    <w:name w:val="Hyperlink"/>
    <w:uiPriority w:val="99"/>
    <w:unhideWhenUsed/>
    <w:rsid w:val="00D528CC"/>
    <w:rPr>
      <w:color w:val="0000FF"/>
      <w:u w:val="single"/>
    </w:rPr>
  </w:style>
  <w:style w:type="paragraph" w:styleId="NormalWeb">
    <w:name w:val="Normal (Web)"/>
    <w:basedOn w:val="Normal"/>
    <w:uiPriority w:val="99"/>
    <w:semiHidden/>
    <w:unhideWhenUsed/>
    <w:rsid w:val="00EE0499"/>
    <w:rPr>
      <w:szCs w:val="24"/>
    </w:rPr>
  </w:style>
  <w:style w:type="character" w:styleId="CommentReference">
    <w:name w:val="annotation reference"/>
    <w:basedOn w:val="DefaultParagraphFont"/>
    <w:uiPriority w:val="99"/>
    <w:semiHidden/>
    <w:unhideWhenUsed/>
    <w:rsid w:val="00552440"/>
    <w:rPr>
      <w:sz w:val="16"/>
      <w:szCs w:val="16"/>
    </w:rPr>
  </w:style>
  <w:style w:type="paragraph" w:styleId="CommentText">
    <w:name w:val="annotation text"/>
    <w:basedOn w:val="Normal"/>
    <w:link w:val="CommentTextChar"/>
    <w:uiPriority w:val="99"/>
    <w:semiHidden/>
    <w:unhideWhenUsed/>
    <w:rsid w:val="00552440"/>
    <w:pPr>
      <w:spacing w:line="240" w:lineRule="auto"/>
    </w:pPr>
    <w:rPr>
      <w:sz w:val="20"/>
      <w:szCs w:val="20"/>
    </w:rPr>
  </w:style>
  <w:style w:type="character" w:customStyle="1" w:styleId="CommentTextChar">
    <w:name w:val="Comment Text Char"/>
    <w:basedOn w:val="DefaultParagraphFont"/>
    <w:link w:val="CommentText"/>
    <w:uiPriority w:val="99"/>
    <w:semiHidden/>
    <w:rsid w:val="00552440"/>
  </w:style>
  <w:style w:type="paragraph" w:styleId="CommentSubject">
    <w:name w:val="annotation subject"/>
    <w:basedOn w:val="CommentText"/>
    <w:next w:val="CommentText"/>
    <w:link w:val="CommentSubjectChar"/>
    <w:uiPriority w:val="99"/>
    <w:semiHidden/>
    <w:unhideWhenUsed/>
    <w:rsid w:val="00552440"/>
    <w:rPr>
      <w:b/>
      <w:bCs/>
    </w:rPr>
  </w:style>
  <w:style w:type="character" w:customStyle="1" w:styleId="CommentSubjectChar">
    <w:name w:val="Comment Subject Char"/>
    <w:basedOn w:val="CommentTextChar"/>
    <w:link w:val="CommentSubject"/>
    <w:uiPriority w:val="99"/>
    <w:semiHidden/>
    <w:rsid w:val="00552440"/>
    <w:rPr>
      <w:b/>
      <w:bCs/>
    </w:rPr>
  </w:style>
  <w:style w:type="paragraph" w:styleId="BalloonText">
    <w:name w:val="Balloon Text"/>
    <w:basedOn w:val="Normal"/>
    <w:link w:val="BalloonTextChar"/>
    <w:uiPriority w:val="99"/>
    <w:semiHidden/>
    <w:unhideWhenUsed/>
    <w:rsid w:val="0055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40"/>
    <w:rPr>
      <w:rFonts w:ascii="Segoe UI" w:hAnsi="Segoe UI" w:cs="Segoe UI"/>
      <w:sz w:val="18"/>
      <w:szCs w:val="18"/>
    </w:rPr>
  </w:style>
  <w:style w:type="character" w:customStyle="1" w:styleId="apple-converted-space">
    <w:name w:val="apple-converted-space"/>
    <w:rsid w:val="0072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0053">
      <w:marLeft w:val="0"/>
      <w:marRight w:val="0"/>
      <w:marTop w:val="0"/>
      <w:marBottom w:val="0"/>
      <w:divBdr>
        <w:top w:val="none" w:sz="0" w:space="0" w:color="auto"/>
        <w:left w:val="none" w:sz="0" w:space="0" w:color="auto"/>
        <w:bottom w:val="none" w:sz="0" w:space="0" w:color="auto"/>
        <w:right w:val="none" w:sz="0" w:space="0" w:color="auto"/>
      </w:divBdr>
    </w:div>
    <w:div w:id="1198354041">
      <w:bodyDiv w:val="1"/>
      <w:marLeft w:val="0"/>
      <w:marRight w:val="0"/>
      <w:marTop w:val="0"/>
      <w:marBottom w:val="0"/>
      <w:divBdr>
        <w:top w:val="none" w:sz="0" w:space="0" w:color="auto"/>
        <w:left w:val="none" w:sz="0" w:space="0" w:color="auto"/>
        <w:bottom w:val="none" w:sz="0" w:space="0" w:color="auto"/>
        <w:right w:val="none" w:sz="0" w:space="0" w:color="auto"/>
      </w:divBdr>
      <w:divsChild>
        <w:div w:id="1075396985">
          <w:marLeft w:val="0"/>
          <w:marRight w:val="0"/>
          <w:marTop w:val="0"/>
          <w:marBottom w:val="0"/>
          <w:divBdr>
            <w:top w:val="none" w:sz="0" w:space="0" w:color="auto"/>
            <w:left w:val="none" w:sz="0" w:space="0" w:color="auto"/>
            <w:bottom w:val="none" w:sz="0" w:space="0" w:color="auto"/>
            <w:right w:val="none" w:sz="0" w:space="0" w:color="auto"/>
          </w:divBdr>
        </w:div>
      </w:divsChild>
    </w:div>
    <w:div w:id="12627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aascholar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7EF3-B244-4E3C-81CC-2419A4F1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CEH</dc:creator>
  <cp:lastModifiedBy>AAA-KD</cp:lastModifiedBy>
  <cp:revision>2</cp:revision>
  <cp:lastPrinted>2016-07-15T15:35:00Z</cp:lastPrinted>
  <dcterms:created xsi:type="dcterms:W3CDTF">2017-02-27T18:30:00Z</dcterms:created>
  <dcterms:modified xsi:type="dcterms:W3CDTF">2017-02-27T18:30:00Z</dcterms:modified>
</cp:coreProperties>
</file>